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1F5AD1" w:rsidRDefault="008379B1">
      <w:pPr>
        <w:tabs>
          <w:tab w:val="center" w:pos="4536"/>
          <w:tab w:val="right" w:pos="9639"/>
        </w:tabs>
        <w:spacing w:before="120" w:after="120"/>
        <w:ind w:right="2"/>
        <w:rPr>
          <w:b/>
          <w:bCs/>
          <w:sz w:val="24"/>
          <w:szCs w:val="18"/>
          <w:highlight w:val="yellow"/>
        </w:rPr>
      </w:pPr>
      <w:r>
        <w:rPr>
          <w:b/>
          <w:bCs/>
          <w:sz w:val="24"/>
          <w:szCs w:val="18"/>
        </w:rPr>
        <w:t>3GPP TSG RAN WG1 meeting #1</w:t>
      </w:r>
      <w:r>
        <w:rPr>
          <w:rFonts w:hint="eastAsia"/>
          <w:b/>
          <w:bCs/>
          <w:sz w:val="24"/>
          <w:szCs w:val="18"/>
        </w:rPr>
        <w:t>12                                       R1-2300366</w:t>
      </w:r>
      <w:r>
        <w:rPr>
          <w:b/>
          <w:sz w:val="22"/>
          <w:szCs w:val="22"/>
        </w:rPr>
        <w:t xml:space="preserve"> </w:t>
      </w:r>
    </w:p>
    <w:p w:rsidR="001F5AD1" w:rsidRDefault="008379B1">
      <w:pPr>
        <w:tabs>
          <w:tab w:val="center" w:pos="4536"/>
          <w:tab w:val="right" w:pos="9072"/>
        </w:tabs>
        <w:spacing w:before="120" w:after="120"/>
        <w:rPr>
          <w:rFonts w:eastAsia="MS Mincho"/>
          <w:b/>
          <w:bCs/>
          <w:sz w:val="24"/>
          <w:szCs w:val="18"/>
          <w:lang w:eastAsia="ja-JP"/>
        </w:rPr>
      </w:pPr>
      <w:r>
        <w:rPr>
          <w:rFonts w:eastAsia="MS Mincho"/>
          <w:b/>
          <w:bCs/>
          <w:sz w:val="24"/>
          <w:szCs w:val="18"/>
          <w:lang w:eastAsia="ja-JP"/>
        </w:rPr>
        <w:t>Athens, Greece, February 27</w:t>
      </w:r>
      <w:r>
        <w:rPr>
          <w:rFonts w:eastAsia="MS Mincho"/>
          <w:b/>
          <w:bCs/>
          <w:sz w:val="24"/>
          <w:szCs w:val="18"/>
          <w:vertAlign w:val="superscript"/>
          <w:lang w:eastAsia="ja-JP"/>
        </w:rPr>
        <w:t>th</w:t>
      </w:r>
      <w:r>
        <w:rPr>
          <w:rFonts w:eastAsia="MS Mincho"/>
          <w:b/>
          <w:bCs/>
          <w:sz w:val="24"/>
          <w:szCs w:val="18"/>
          <w:lang w:eastAsia="ja-JP"/>
        </w:rPr>
        <w:t xml:space="preserve"> – March 3</w:t>
      </w:r>
      <w:r>
        <w:rPr>
          <w:rFonts w:eastAsia="MS Mincho"/>
          <w:b/>
          <w:bCs/>
          <w:sz w:val="24"/>
          <w:szCs w:val="18"/>
          <w:vertAlign w:val="superscript"/>
          <w:lang w:eastAsia="ja-JP"/>
        </w:rPr>
        <w:t>rd</w:t>
      </w:r>
      <w:r>
        <w:rPr>
          <w:rFonts w:eastAsia="MS Mincho"/>
          <w:b/>
          <w:bCs/>
          <w:sz w:val="24"/>
          <w:szCs w:val="18"/>
          <w:lang w:eastAsia="ja-JP"/>
        </w:rPr>
        <w:t>, 2023</w:t>
      </w:r>
    </w:p>
    <w:p w:rsidR="001F5AD1" w:rsidRDefault="008379B1">
      <w:pPr>
        <w:pStyle w:val="aa"/>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2"/>
          <w:szCs w:val="22"/>
        </w:rPr>
        <w:t>Title:</w:t>
      </w:r>
      <w:r>
        <w:rPr>
          <w:rFonts w:hint="eastAsia"/>
          <w:b/>
          <w:sz w:val="22"/>
          <w:szCs w:val="22"/>
        </w:rPr>
        <w:t xml:space="preserve"> </w:t>
      </w:r>
      <w:r>
        <w:rPr>
          <w:rFonts w:hint="eastAsia"/>
          <w:b/>
          <w:sz w:val="22"/>
          <w:szCs w:val="22"/>
        </w:rPr>
        <w:tab/>
        <w:t xml:space="preserve">Discussion on 1024QAM capabilities </w:t>
      </w:r>
    </w:p>
    <w:p w:rsidR="001F5AD1" w:rsidRDefault="008379B1">
      <w:pPr>
        <w:pStyle w:val="aa"/>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2"/>
          <w:szCs w:val="22"/>
        </w:rPr>
        <w:t xml:space="preserve">Source: </w:t>
      </w:r>
      <w:r>
        <w:rPr>
          <w:b/>
          <w:sz w:val="22"/>
          <w:szCs w:val="22"/>
        </w:rPr>
        <w:tab/>
        <w:t xml:space="preserve">ZTE, </w:t>
      </w:r>
      <w:proofErr w:type="spellStart"/>
      <w:r>
        <w:rPr>
          <w:b/>
          <w:sz w:val="22"/>
          <w:szCs w:val="22"/>
        </w:rPr>
        <w:t>Sanechips</w:t>
      </w:r>
      <w:proofErr w:type="spellEnd"/>
    </w:p>
    <w:p w:rsidR="001F5AD1" w:rsidRDefault="008379B1">
      <w:pPr>
        <w:pStyle w:val="aa"/>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2"/>
          <w:szCs w:val="22"/>
        </w:rPr>
        <w:t>Agenda Item:</w:t>
      </w:r>
      <w:r>
        <w:rPr>
          <w:b/>
          <w:sz w:val="22"/>
          <w:szCs w:val="22"/>
        </w:rPr>
        <w:tab/>
      </w:r>
      <w:r>
        <w:rPr>
          <w:rFonts w:hint="eastAsia"/>
          <w:b/>
          <w:sz w:val="22"/>
          <w:szCs w:val="22"/>
        </w:rPr>
        <w:t>5</w:t>
      </w:r>
    </w:p>
    <w:p w:rsidR="001F5AD1" w:rsidRDefault="008379B1">
      <w:pPr>
        <w:pStyle w:val="aa"/>
        <w:widowControl w:val="0"/>
        <w:pBdr>
          <w:bottom w:val="none" w:sz="0" w:space="0" w:color="auto"/>
        </w:pBdr>
        <w:tabs>
          <w:tab w:val="clear" w:pos="4153"/>
          <w:tab w:val="clear" w:pos="8306"/>
          <w:tab w:val="left" w:pos="1800"/>
        </w:tabs>
        <w:snapToGrid/>
        <w:spacing w:before="120" w:after="120" w:line="260" w:lineRule="auto"/>
        <w:jc w:val="both"/>
        <w:rPr>
          <w:b/>
          <w:sz w:val="22"/>
          <w:szCs w:val="22"/>
          <w:lang w:val="pt-BR"/>
        </w:rPr>
      </w:pPr>
      <w:r>
        <w:rPr>
          <w:b/>
          <w:sz w:val="22"/>
          <w:szCs w:val="22"/>
        </w:rPr>
        <w:t>Document for:</w:t>
      </w:r>
      <w:r>
        <w:rPr>
          <w:b/>
          <w:sz w:val="22"/>
          <w:szCs w:val="22"/>
        </w:rPr>
        <w:tab/>
        <w:t>Discussion and Decision</w:t>
      </w:r>
    </w:p>
    <w:p w:rsidR="001F5AD1" w:rsidRDefault="008379B1">
      <w:pPr>
        <w:pStyle w:val="1"/>
        <w:numPr>
          <w:ilvl w:val="0"/>
          <w:numId w:val="9"/>
        </w:numPr>
        <w:spacing w:before="120" w:after="120"/>
        <w:rPr>
          <w:rFonts w:ascii="Times New Roman" w:eastAsia="宋体" w:hAnsi="Times New Roman"/>
          <w:b/>
          <w:bCs/>
          <w:sz w:val="28"/>
          <w:szCs w:val="28"/>
        </w:rPr>
      </w:pPr>
      <w:bookmarkStart w:id="0" w:name="_Ref27419"/>
      <w:r>
        <w:rPr>
          <w:rFonts w:ascii="Times New Roman" w:eastAsia="宋体" w:hAnsi="Times New Roman"/>
          <w:b/>
          <w:bCs/>
          <w:sz w:val="28"/>
          <w:szCs w:val="28"/>
        </w:rPr>
        <w:t>Introduction</w:t>
      </w:r>
      <w:bookmarkEnd w:id="0"/>
    </w:p>
    <w:p w:rsidR="001F5AD1" w:rsidRDefault="008379B1">
      <w:pPr>
        <w:spacing w:before="120" w:after="120"/>
        <w:rPr>
          <w:lang w:bidi="ar"/>
        </w:rPr>
      </w:pPr>
      <w:r>
        <w:rPr>
          <w:rFonts w:hint="eastAsia"/>
          <w:lang w:bidi="ar"/>
        </w:rPr>
        <w:t xml:space="preserve">RAN2 </w:t>
      </w:r>
      <w:r>
        <w:rPr>
          <w:lang w:bidi="ar"/>
        </w:rPr>
        <w:t>sent L</w:t>
      </w:r>
      <w:r>
        <w:rPr>
          <w:lang w:bidi="ar"/>
        </w:rPr>
        <w:t xml:space="preserve">S </w:t>
      </w:r>
      <w:r>
        <w:rPr>
          <w:rFonts w:hint="eastAsia"/>
          <w:lang w:bidi="ar"/>
        </w:rPr>
        <w:t>[1]</w:t>
      </w:r>
      <w:r>
        <w:rPr>
          <w:lang w:bidi="ar"/>
        </w:rPr>
        <w:t xml:space="preserve"> about </w:t>
      </w:r>
      <w:r>
        <w:rPr>
          <w:rFonts w:hint="eastAsia"/>
          <w:lang w:bidi="ar"/>
        </w:rPr>
        <w:t xml:space="preserve">the impacts </w:t>
      </w:r>
      <w:bookmarkStart w:id="1" w:name="OLE_LINK1"/>
      <w:r>
        <w:rPr>
          <w:rFonts w:hint="eastAsia"/>
          <w:lang w:bidi="ar"/>
        </w:rPr>
        <w:t xml:space="preserve">due to introduction of the reduced 1024 QAM capability </w:t>
      </w:r>
      <w:r>
        <w:rPr>
          <w:rFonts w:hint="eastAsia"/>
          <w:i/>
          <w:iCs/>
          <w:lang w:bidi="ar"/>
        </w:rPr>
        <w:t>pdsch-1024QAM-2MIMO-FR1-r17</w:t>
      </w:r>
      <w:bookmarkEnd w:id="1"/>
      <w:r>
        <w:rPr>
          <w:rFonts w:hint="eastAsia"/>
          <w:lang w:bidi="ar"/>
        </w:rPr>
        <w:t xml:space="preserve"> based on R2-2212595 [2]. The followi</w:t>
      </w:r>
      <w:r>
        <w:rPr>
          <w:rFonts w:hint="eastAsia"/>
          <w:lang w:bidi="ar"/>
        </w:rPr>
        <w:t>ng agreements and assumptions were made in RAN2:</w:t>
      </w:r>
    </w:p>
    <w:tbl>
      <w:tblPr>
        <w:tblStyle w:val="ae"/>
        <w:tblW w:w="0" w:type="auto"/>
        <w:tblLook w:val="04A0" w:firstRow="1" w:lastRow="0" w:firstColumn="1" w:lastColumn="0" w:noHBand="0" w:noVBand="1"/>
      </w:tblPr>
      <w:tblGrid>
        <w:gridCol w:w="9650"/>
      </w:tblGrid>
      <w:tr w:rsidR="001F5AD1">
        <w:tc>
          <w:tcPr>
            <w:tcW w:w="9876" w:type="dxa"/>
          </w:tcPr>
          <w:p w:rsidR="001F5AD1" w:rsidRDefault="008379B1">
            <w:pPr>
              <w:spacing w:before="120" w:after="120"/>
              <w:rPr>
                <w:rFonts w:eastAsia="Calibri"/>
                <w:b/>
                <w:bCs/>
              </w:rPr>
            </w:pPr>
            <w:r>
              <w:rPr>
                <w:rFonts w:eastAsia="Calibri"/>
                <w:b/>
                <w:bCs/>
                <w:highlight w:val="green"/>
              </w:rPr>
              <w:t>Agreements</w:t>
            </w:r>
            <w:r>
              <w:rPr>
                <w:rFonts w:eastAsia="Calibri"/>
                <w:b/>
                <w:bCs/>
              </w:rPr>
              <w:t xml:space="preserve"> in RAN2</w:t>
            </w:r>
          </w:p>
          <w:p w:rsidR="001F5AD1" w:rsidRDefault="008379B1">
            <w:pPr>
              <w:pStyle w:val="Agreement"/>
              <w:spacing w:before="120" w:after="120"/>
              <w:rPr>
                <w:rFonts w:ascii="Times New Roman" w:hAnsi="Times New Roman"/>
                <w:b w:val="0"/>
                <w:bCs/>
              </w:rPr>
            </w:pPr>
            <w:r>
              <w:rPr>
                <w:rFonts w:ascii="Times New Roman" w:hAnsi="Times New Roman"/>
                <w:b w:val="0"/>
                <w:bCs/>
              </w:rPr>
              <w:t xml:space="preserve">[1] Clarify that UE shall at most report one of </w:t>
            </w:r>
            <w:r>
              <w:rPr>
                <w:rFonts w:ascii="Times New Roman" w:hAnsi="Times New Roman"/>
                <w:b w:val="0"/>
                <w:bCs/>
                <w:i/>
              </w:rPr>
              <w:t>pdsch-1024QAM-2MIMO-FR1-r17</w:t>
            </w:r>
            <w:r>
              <w:rPr>
                <w:rFonts w:ascii="Times New Roman" w:hAnsi="Times New Roman"/>
                <w:b w:val="0"/>
                <w:bCs/>
              </w:rPr>
              <w:t xml:space="preserve">and </w:t>
            </w:r>
            <w:bookmarkStart w:id="2" w:name="OLE_LINK3"/>
            <w:r>
              <w:rPr>
                <w:rFonts w:ascii="Times New Roman" w:hAnsi="Times New Roman"/>
                <w:b w:val="0"/>
                <w:bCs/>
                <w:i/>
              </w:rPr>
              <w:t>pdsch-1024QAM-FR1-r17</w:t>
            </w:r>
            <w:bookmarkEnd w:id="2"/>
            <w:r>
              <w:rPr>
                <w:rFonts w:ascii="Times New Roman" w:hAnsi="Times New Roman"/>
                <w:b w:val="0"/>
                <w:bCs/>
              </w:rPr>
              <w:t>.</w:t>
            </w:r>
          </w:p>
          <w:p w:rsidR="001F5AD1" w:rsidRDefault="008379B1">
            <w:pPr>
              <w:pStyle w:val="Agreement"/>
              <w:spacing w:before="120" w:after="120"/>
              <w:rPr>
                <w:rFonts w:ascii="Times New Roman" w:hAnsi="Times New Roman"/>
                <w:b w:val="0"/>
                <w:bCs/>
                <w:iCs/>
                <w:color w:val="C00000"/>
                <w:lang w:eastAsia="zh-CN"/>
              </w:rPr>
            </w:pPr>
            <w:r>
              <w:rPr>
                <w:rFonts w:ascii="Times New Roman" w:hAnsi="Times New Roman"/>
                <w:b w:val="0"/>
                <w:bCs/>
              </w:rPr>
              <w:t xml:space="preserve">[2] Assume to Extend </w:t>
            </w:r>
            <w:proofErr w:type="spellStart"/>
            <w:r>
              <w:rPr>
                <w:rFonts w:ascii="Times New Roman" w:hAnsi="Times New Roman"/>
                <w:b w:val="0"/>
                <w:bCs/>
                <w:i/>
              </w:rPr>
              <w:t>supportedModulationOrderDL</w:t>
            </w:r>
            <w:proofErr w:type="spellEnd"/>
            <w:r>
              <w:rPr>
                <w:rFonts w:ascii="Times New Roman" w:hAnsi="Times New Roman"/>
                <w:b w:val="0"/>
                <w:bCs/>
              </w:rPr>
              <w:t xml:space="preserve"> to include 1024 QAM (confirm with R1). </w:t>
            </w:r>
          </w:p>
          <w:p w:rsidR="001F5AD1" w:rsidRDefault="008379B1">
            <w:pPr>
              <w:pStyle w:val="Agreement"/>
              <w:spacing w:before="120" w:after="120"/>
              <w:rPr>
                <w:rFonts w:ascii="Times New Roman" w:hAnsi="Times New Roman"/>
                <w:b w:val="0"/>
                <w:bCs/>
              </w:rPr>
            </w:pPr>
            <w:r>
              <w:rPr>
                <w:rFonts w:ascii="Times New Roman" w:hAnsi="Times New Roman"/>
                <w:b w:val="0"/>
                <w:bCs/>
              </w:rPr>
              <w:t xml:space="preserve">[3] The MIMO layer for 1024 QAM is Min (2, </w:t>
            </w:r>
            <w:proofErr w:type="spellStart"/>
            <w:r>
              <w:rPr>
                <w:rFonts w:ascii="Times New Roman" w:hAnsi="Times New Roman"/>
                <w:b w:val="0"/>
                <w:bCs/>
                <w:i/>
              </w:rPr>
              <w:t>maxNumberMIMO-LayersPDS</w:t>
            </w:r>
            <w:r>
              <w:rPr>
                <w:rFonts w:ascii="Times New Roman" w:hAnsi="Times New Roman"/>
                <w:b w:val="0"/>
                <w:bCs/>
                <w:i/>
              </w:rPr>
              <w:t>CH</w:t>
            </w:r>
            <w:proofErr w:type="spellEnd"/>
            <w:r>
              <w:rPr>
                <w:rFonts w:ascii="Times New Roman" w:hAnsi="Times New Roman"/>
                <w:b w:val="0"/>
                <w:bCs/>
              </w:rPr>
              <w:t xml:space="preserve">) for the CC where 1024 QAM is reported </w:t>
            </w:r>
          </w:p>
          <w:p w:rsidR="001F5AD1" w:rsidRDefault="008379B1">
            <w:pPr>
              <w:pStyle w:val="Agreement"/>
              <w:spacing w:before="120" w:after="120"/>
              <w:rPr>
                <w:rFonts w:ascii="Times New Roman" w:hAnsi="Times New Roman"/>
                <w:b w:val="0"/>
                <w:bCs/>
                <w:color w:val="C00000"/>
                <w:lang w:eastAsia="zh-CN"/>
              </w:rPr>
            </w:pPr>
            <w:r>
              <w:rPr>
                <w:rFonts w:ascii="Times New Roman" w:hAnsi="Times New Roman"/>
                <w:b w:val="0"/>
                <w:bCs/>
              </w:rPr>
              <w:t>[4] Assume that Max data rate shall be derived from the higher data rate between 1024 QAM or 256 QAM for CC where 1024 QAM is indicated and the UE support reduced 1024 capability (confirm with R1)</w:t>
            </w:r>
          </w:p>
          <w:p w:rsidR="001F5AD1" w:rsidRDefault="008379B1">
            <w:pPr>
              <w:pStyle w:val="Agreement"/>
              <w:spacing w:before="120" w:after="120"/>
              <w:rPr>
                <w:rFonts w:ascii="Times New Roman" w:eastAsia="Calibri" w:hAnsi="Times New Roman"/>
                <w:lang w:eastAsia="zh-CN"/>
              </w:rPr>
            </w:pPr>
            <w:r>
              <w:rPr>
                <w:rFonts w:ascii="Times New Roman" w:hAnsi="Times New Roman"/>
                <w:b w:val="0"/>
                <w:bCs/>
              </w:rPr>
              <w:t>[5] Assume to Cl</w:t>
            </w:r>
            <w:r>
              <w:rPr>
                <w:rFonts w:ascii="Times New Roman" w:hAnsi="Times New Roman"/>
                <w:b w:val="0"/>
                <w:bCs/>
              </w:rPr>
              <w:t xml:space="preserve">arify that both </w:t>
            </w:r>
            <w:proofErr w:type="spellStart"/>
            <w:r>
              <w:rPr>
                <w:rFonts w:ascii="Times New Roman" w:hAnsi="Times New Roman"/>
                <w:b w:val="0"/>
                <w:bCs/>
                <w:i/>
              </w:rPr>
              <w:t>scalingFactor</w:t>
            </w:r>
            <w:proofErr w:type="spellEnd"/>
            <w:r>
              <w:rPr>
                <w:rFonts w:ascii="Times New Roman" w:hAnsi="Times New Roman"/>
                <w:b w:val="0"/>
                <w:bCs/>
              </w:rPr>
              <w:t xml:space="preserve"> and </w:t>
            </w:r>
            <w:r>
              <w:rPr>
                <w:rFonts w:ascii="Times New Roman" w:hAnsi="Times New Roman"/>
                <w:b w:val="0"/>
                <w:bCs/>
                <w:i/>
              </w:rPr>
              <w:t>scalingFactor-1024QAM-FR1-r17</w:t>
            </w:r>
            <w:r>
              <w:rPr>
                <w:rFonts w:ascii="Times New Roman" w:hAnsi="Times New Roman"/>
                <w:b w:val="0"/>
                <w:bCs/>
              </w:rPr>
              <w:t xml:space="preserve"> can be included for in one per CC capability and legacy </w:t>
            </w:r>
            <w:proofErr w:type="spellStart"/>
            <w:r>
              <w:rPr>
                <w:rFonts w:ascii="Times New Roman" w:hAnsi="Times New Roman"/>
                <w:b w:val="0"/>
                <w:bCs/>
                <w:i/>
              </w:rPr>
              <w:t>scalingFactor</w:t>
            </w:r>
            <w:proofErr w:type="spellEnd"/>
            <w:r>
              <w:rPr>
                <w:rFonts w:ascii="Times New Roman" w:hAnsi="Times New Roman"/>
                <w:b w:val="0"/>
                <w:bCs/>
              </w:rPr>
              <w:t xml:space="preserve"> is used when non-1024 QAM is scheduled (confirm with R1)</w:t>
            </w:r>
          </w:p>
        </w:tc>
      </w:tr>
    </w:tbl>
    <w:p w:rsidR="001F5AD1" w:rsidRDefault="008379B1">
      <w:pPr>
        <w:spacing w:before="120" w:after="120"/>
        <w:rPr>
          <w:szCs w:val="21"/>
          <w:lang w:bidi="ar"/>
        </w:rPr>
      </w:pPr>
      <w:r>
        <w:rPr>
          <w:rFonts w:hint="eastAsia"/>
          <w:szCs w:val="21"/>
          <w:lang w:bidi="ar"/>
        </w:rPr>
        <w:t xml:space="preserve">In this contribution, the impacts </w:t>
      </w:r>
      <w:r>
        <w:rPr>
          <w:rFonts w:hint="eastAsia"/>
          <w:lang w:bidi="ar"/>
        </w:rPr>
        <w:t xml:space="preserve">due to introduction of the </w:t>
      </w:r>
      <w:r>
        <w:rPr>
          <w:rFonts w:hint="eastAsia"/>
          <w:lang w:bidi="ar"/>
        </w:rPr>
        <w:t>reduced 1024 QAM capability</w:t>
      </w:r>
      <w:r>
        <w:rPr>
          <w:rFonts w:hint="eastAsia"/>
          <w:szCs w:val="21"/>
          <w:lang w:bidi="ar"/>
        </w:rPr>
        <w:t xml:space="preserve"> are </w:t>
      </w:r>
      <w:proofErr w:type="gramStart"/>
      <w:r>
        <w:rPr>
          <w:rFonts w:hint="eastAsia"/>
          <w:szCs w:val="21"/>
          <w:lang w:bidi="ar"/>
        </w:rPr>
        <w:t>analyzed.</w:t>
      </w:r>
      <w:r>
        <w:rPr>
          <w:szCs w:val="21"/>
          <w:lang w:bidi="ar"/>
        </w:rPr>
        <w:t>.</w:t>
      </w:r>
      <w:proofErr w:type="gramEnd"/>
    </w:p>
    <w:p w:rsidR="001F5AD1" w:rsidRDefault="001F5AD1">
      <w:pPr>
        <w:spacing w:before="120" w:after="120"/>
        <w:rPr>
          <w:szCs w:val="21"/>
          <w:lang w:bidi="ar"/>
        </w:rPr>
      </w:pPr>
    </w:p>
    <w:p w:rsidR="001F5AD1" w:rsidRDefault="008379B1">
      <w:pPr>
        <w:pStyle w:val="1"/>
        <w:numPr>
          <w:ilvl w:val="0"/>
          <w:numId w:val="9"/>
        </w:numPr>
        <w:spacing w:before="120" w:after="120"/>
        <w:rPr>
          <w:rFonts w:ascii="Times New Roman" w:hAnsi="Times New Roman"/>
          <w:b/>
          <w:bCs/>
          <w:sz w:val="28"/>
          <w:szCs w:val="28"/>
        </w:rPr>
      </w:pPr>
      <w:r>
        <w:rPr>
          <w:rFonts w:ascii="Times New Roman" w:eastAsia="宋体" w:hAnsi="Times New Roman" w:hint="eastAsia"/>
          <w:b/>
          <w:bCs/>
          <w:sz w:val="28"/>
          <w:szCs w:val="28"/>
        </w:rPr>
        <w:t xml:space="preserve">Discussion  </w:t>
      </w:r>
    </w:p>
    <w:p w:rsidR="001F5AD1" w:rsidRDefault="008379B1">
      <w:pPr>
        <w:spacing w:before="120" w:after="120"/>
      </w:pPr>
      <w:r>
        <w:t xml:space="preserve">In </w:t>
      </w:r>
      <w:r>
        <w:rPr>
          <w:rFonts w:hint="eastAsia"/>
        </w:rPr>
        <w:t>the</w:t>
      </w:r>
      <w:r>
        <w:t xml:space="preserve"> current specification, there are two 1024QAM capabilitie</w:t>
      </w:r>
      <w:r>
        <w:t>s as below</w:t>
      </w:r>
      <w:r>
        <w:rPr>
          <w:rFonts w:hint="eastAsia"/>
        </w:rPr>
        <w:t xml:space="preserve"> </w:t>
      </w:r>
      <w:r>
        <w:t>[</w:t>
      </w:r>
      <w:r>
        <w:rPr>
          <w:rFonts w:hint="eastAsia"/>
        </w:rPr>
        <w:t>3</w:t>
      </w:r>
      <w:r>
        <w:t xml:space="preserve">]: </w:t>
      </w:r>
    </w:p>
    <w:tbl>
      <w:tblPr>
        <w:tblW w:w="978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300"/>
        <w:gridCol w:w="675"/>
        <w:gridCol w:w="500"/>
        <w:gridCol w:w="600"/>
        <w:gridCol w:w="712"/>
      </w:tblGrid>
      <w:tr w:rsidR="001F5AD1">
        <w:trPr>
          <w:cantSplit/>
          <w:tblHeader/>
        </w:trPr>
        <w:tc>
          <w:tcPr>
            <w:tcW w:w="7300" w:type="dxa"/>
            <w:tcBorders>
              <w:top w:val="single" w:sz="4" w:space="0" w:color="808080"/>
              <w:left w:val="single" w:sz="4" w:space="0" w:color="808080"/>
              <w:bottom w:val="single" w:sz="4" w:space="0" w:color="808080"/>
              <w:right w:val="single" w:sz="4" w:space="0" w:color="808080"/>
            </w:tcBorders>
          </w:tcPr>
          <w:p w:rsidR="001F5AD1" w:rsidRDefault="008379B1">
            <w:pPr>
              <w:pStyle w:val="TAL"/>
              <w:spacing w:beforeLines="0" w:before="0" w:after="120"/>
              <w:rPr>
                <w:rFonts w:ascii="Times New Roman" w:hAnsi="Times New Roman"/>
                <w:b/>
                <w:bCs/>
                <w:i/>
                <w:iCs/>
                <w:sz w:val="20"/>
              </w:rPr>
            </w:pPr>
            <w:bookmarkStart w:id="3" w:name="_Hlk118193528"/>
            <w:r>
              <w:rPr>
                <w:rFonts w:ascii="Times New Roman" w:hAnsi="Times New Roman"/>
                <w:b/>
                <w:bCs/>
                <w:i/>
                <w:iCs/>
                <w:sz w:val="20"/>
              </w:rPr>
              <w:t>pdsch-1024QAM-2MIMO-FR1-r17</w:t>
            </w:r>
          </w:p>
          <w:p w:rsidR="001F5AD1" w:rsidRDefault="008379B1">
            <w:pPr>
              <w:pStyle w:val="TAL"/>
              <w:spacing w:beforeLines="0" w:before="0" w:afterLines="0"/>
              <w:rPr>
                <w:rFonts w:ascii="Times New Roman" w:hAnsi="Times New Roman"/>
                <w:sz w:val="20"/>
              </w:rPr>
            </w:pPr>
            <w:r>
              <w:rPr>
                <w:rFonts w:ascii="Times New Roman" w:hAnsi="Times New Roman"/>
                <w:sz w:val="20"/>
              </w:rPr>
              <w:t xml:space="preserve">Indicates whether the UE supports 1024QAM modulation scheme for PDSCH with maximum 2 MIMO </w:t>
            </w:r>
            <w:r>
              <w:rPr>
                <w:rFonts w:ascii="Times New Roman" w:hAnsi="Times New Roman"/>
                <w:sz w:val="20"/>
              </w:rPr>
              <w:t>layers for FR1 as defined in TS 38.211 [6], MCS and CQI feedback tables based on 1024QAM modulation order as defined in TS 38.214 [12].</w:t>
            </w:r>
          </w:p>
          <w:p w:rsidR="001F5AD1" w:rsidRDefault="001F5AD1">
            <w:pPr>
              <w:pStyle w:val="TAL"/>
              <w:spacing w:beforeLines="0" w:before="0" w:afterLines="0"/>
              <w:rPr>
                <w:rFonts w:ascii="Times New Roman" w:hAnsi="Times New Roman"/>
                <w:sz w:val="20"/>
              </w:rPr>
            </w:pPr>
          </w:p>
          <w:p w:rsidR="001F5AD1" w:rsidRDefault="008379B1">
            <w:pPr>
              <w:pStyle w:val="TAL"/>
              <w:spacing w:beforeLines="0" w:before="0" w:afterLines="0"/>
              <w:rPr>
                <w:rFonts w:ascii="Times New Roman" w:hAnsi="Times New Roman"/>
                <w:b/>
                <w:bCs/>
                <w:i/>
                <w:iCs/>
                <w:sz w:val="20"/>
              </w:rPr>
            </w:pPr>
            <w:r>
              <w:rPr>
                <w:rFonts w:ascii="Times New Roman" w:hAnsi="Times New Roman"/>
                <w:sz w:val="20"/>
              </w:rPr>
              <w:t xml:space="preserve">UE indicating support of this feature shall also indicate support of </w:t>
            </w:r>
            <w:r>
              <w:rPr>
                <w:rFonts w:ascii="Times New Roman" w:hAnsi="Times New Roman"/>
                <w:i/>
                <w:iCs/>
                <w:sz w:val="20"/>
              </w:rPr>
              <w:t>pdsch-256QAM-FR1</w:t>
            </w:r>
            <w:r>
              <w:rPr>
                <w:rFonts w:ascii="Times New Roman" w:hAnsi="Times New Roman"/>
                <w:sz w:val="20"/>
              </w:rPr>
              <w:t>.</w:t>
            </w:r>
          </w:p>
        </w:tc>
        <w:tc>
          <w:tcPr>
            <w:tcW w:w="675" w:type="dxa"/>
            <w:tcBorders>
              <w:top w:val="single" w:sz="4" w:space="0" w:color="808080"/>
              <w:left w:val="single" w:sz="4" w:space="0" w:color="808080"/>
              <w:bottom w:val="single" w:sz="4" w:space="0" w:color="808080"/>
              <w:right w:val="single" w:sz="4" w:space="0" w:color="808080"/>
            </w:tcBorders>
          </w:tcPr>
          <w:p w:rsidR="001F5AD1" w:rsidRDefault="008379B1">
            <w:pPr>
              <w:pStyle w:val="TAL"/>
              <w:spacing w:beforeLines="0" w:before="0" w:afterLines="0"/>
              <w:jc w:val="center"/>
              <w:rPr>
                <w:rFonts w:ascii="Times New Roman" w:hAnsi="Times New Roman"/>
                <w:bCs/>
                <w:i/>
                <w:iCs/>
                <w:sz w:val="20"/>
              </w:rPr>
            </w:pPr>
            <w:r>
              <w:rPr>
                <w:rFonts w:ascii="Times New Roman" w:hAnsi="Times New Roman"/>
                <w:bCs/>
                <w:iCs/>
                <w:sz w:val="20"/>
              </w:rPr>
              <w:t>Band</w:t>
            </w:r>
          </w:p>
        </w:tc>
        <w:tc>
          <w:tcPr>
            <w:tcW w:w="500" w:type="dxa"/>
            <w:tcBorders>
              <w:top w:val="single" w:sz="4" w:space="0" w:color="808080"/>
              <w:left w:val="single" w:sz="4" w:space="0" w:color="808080"/>
              <w:bottom w:val="single" w:sz="4" w:space="0" w:color="808080"/>
              <w:right w:val="single" w:sz="4" w:space="0" w:color="808080"/>
            </w:tcBorders>
          </w:tcPr>
          <w:p w:rsidR="001F5AD1" w:rsidRDefault="008379B1">
            <w:pPr>
              <w:pStyle w:val="TAL"/>
              <w:spacing w:beforeLines="0" w:before="0" w:afterLines="0"/>
              <w:jc w:val="center"/>
              <w:rPr>
                <w:rFonts w:ascii="Times New Roman" w:hAnsi="Times New Roman"/>
                <w:bCs/>
                <w:i/>
                <w:iCs/>
                <w:sz w:val="20"/>
              </w:rPr>
            </w:pPr>
            <w:r>
              <w:rPr>
                <w:rFonts w:ascii="Times New Roman" w:hAnsi="Times New Roman"/>
                <w:bCs/>
                <w:iCs/>
                <w:sz w:val="20"/>
              </w:rPr>
              <w:t>No</w:t>
            </w:r>
          </w:p>
        </w:tc>
        <w:tc>
          <w:tcPr>
            <w:tcW w:w="600" w:type="dxa"/>
            <w:tcBorders>
              <w:top w:val="single" w:sz="4" w:space="0" w:color="808080"/>
              <w:left w:val="single" w:sz="4" w:space="0" w:color="808080"/>
              <w:bottom w:val="single" w:sz="4" w:space="0" w:color="808080"/>
              <w:right w:val="single" w:sz="4" w:space="0" w:color="808080"/>
            </w:tcBorders>
          </w:tcPr>
          <w:p w:rsidR="001F5AD1" w:rsidRDefault="008379B1">
            <w:pPr>
              <w:pStyle w:val="TAL"/>
              <w:spacing w:beforeLines="0" w:before="0" w:afterLines="0"/>
              <w:jc w:val="center"/>
              <w:rPr>
                <w:rFonts w:ascii="Times New Roman" w:hAnsi="Times New Roman"/>
                <w:bCs/>
                <w:i/>
                <w:iCs/>
                <w:sz w:val="20"/>
              </w:rPr>
            </w:pPr>
            <w:r>
              <w:rPr>
                <w:rFonts w:ascii="Times New Roman" w:hAnsi="Times New Roman"/>
                <w:bCs/>
                <w:iCs/>
                <w:sz w:val="20"/>
              </w:rPr>
              <w:t>N/A</w:t>
            </w:r>
          </w:p>
        </w:tc>
        <w:tc>
          <w:tcPr>
            <w:tcW w:w="712" w:type="dxa"/>
            <w:tcBorders>
              <w:top w:val="single" w:sz="4" w:space="0" w:color="808080"/>
              <w:left w:val="single" w:sz="4" w:space="0" w:color="808080"/>
              <w:bottom w:val="single" w:sz="4" w:space="0" w:color="808080"/>
              <w:right w:val="single" w:sz="4" w:space="0" w:color="808080"/>
            </w:tcBorders>
          </w:tcPr>
          <w:p w:rsidR="001F5AD1" w:rsidRDefault="008379B1">
            <w:pPr>
              <w:pStyle w:val="TAL"/>
              <w:spacing w:beforeLines="0" w:before="0" w:afterLines="0"/>
              <w:jc w:val="center"/>
              <w:rPr>
                <w:rFonts w:ascii="Times New Roman" w:hAnsi="Times New Roman"/>
                <w:i/>
                <w:sz w:val="20"/>
              </w:rPr>
            </w:pPr>
            <w:r>
              <w:rPr>
                <w:rFonts w:ascii="Times New Roman" w:hAnsi="Times New Roman"/>
                <w:sz w:val="20"/>
              </w:rPr>
              <w:t>FR1 only</w:t>
            </w:r>
          </w:p>
        </w:tc>
      </w:tr>
      <w:tr w:rsidR="001F5AD1">
        <w:trPr>
          <w:cantSplit/>
          <w:trHeight w:val="90"/>
          <w:tblHeader/>
        </w:trPr>
        <w:tc>
          <w:tcPr>
            <w:tcW w:w="7300" w:type="dxa"/>
            <w:tcBorders>
              <w:top w:val="single" w:sz="4" w:space="0" w:color="808080"/>
              <w:left w:val="single" w:sz="4" w:space="0" w:color="808080"/>
              <w:bottom w:val="single" w:sz="4" w:space="0" w:color="808080"/>
              <w:right w:val="single" w:sz="4" w:space="0" w:color="808080"/>
            </w:tcBorders>
          </w:tcPr>
          <w:p w:rsidR="001F5AD1" w:rsidRDefault="008379B1">
            <w:pPr>
              <w:pStyle w:val="TAL"/>
              <w:spacing w:beforeLines="0" w:before="0" w:after="120"/>
              <w:rPr>
                <w:rFonts w:ascii="Times New Roman" w:hAnsi="Times New Roman"/>
                <w:b/>
                <w:bCs/>
                <w:i/>
                <w:iCs/>
                <w:sz w:val="20"/>
              </w:rPr>
            </w:pPr>
            <w:r>
              <w:rPr>
                <w:rFonts w:ascii="Times New Roman" w:hAnsi="Times New Roman"/>
                <w:b/>
                <w:bCs/>
                <w:i/>
                <w:iCs/>
                <w:sz w:val="20"/>
              </w:rPr>
              <w:t>pdsch-1024QAM-FR1-r17</w:t>
            </w:r>
          </w:p>
          <w:p w:rsidR="001F5AD1" w:rsidRDefault="008379B1">
            <w:pPr>
              <w:pStyle w:val="TAL"/>
              <w:spacing w:beforeLines="0" w:before="0" w:afterLines="0"/>
              <w:rPr>
                <w:rFonts w:ascii="Times New Roman" w:hAnsi="Times New Roman"/>
                <w:sz w:val="20"/>
              </w:rPr>
            </w:pPr>
            <w:r>
              <w:rPr>
                <w:rFonts w:ascii="Times New Roman" w:hAnsi="Times New Roman"/>
                <w:bCs/>
                <w:iCs/>
                <w:sz w:val="20"/>
              </w:rPr>
              <w:t xml:space="preserve">Indicates whether the UE supports 1024QAM modulation scheme for PDSCH for FR1 as defined in TS 38.211 [6], </w:t>
            </w:r>
            <w:r>
              <w:rPr>
                <w:rFonts w:ascii="Times New Roman" w:hAnsi="Times New Roman"/>
                <w:sz w:val="20"/>
              </w:rPr>
              <w:t>MCS and CQI feedback tables based on 1024QAM modulation order as defined in TS 38.214 [12].</w:t>
            </w:r>
          </w:p>
          <w:p w:rsidR="001F5AD1" w:rsidRDefault="001F5AD1">
            <w:pPr>
              <w:pStyle w:val="TAL"/>
              <w:spacing w:beforeLines="0" w:before="0" w:afterLines="0"/>
              <w:rPr>
                <w:rFonts w:ascii="Times New Roman" w:hAnsi="Times New Roman"/>
                <w:sz w:val="20"/>
              </w:rPr>
            </w:pPr>
          </w:p>
          <w:p w:rsidR="001F5AD1" w:rsidRDefault="008379B1">
            <w:pPr>
              <w:pStyle w:val="TAL"/>
              <w:spacing w:beforeLines="0" w:before="0" w:afterLines="0"/>
              <w:rPr>
                <w:rFonts w:ascii="Times New Roman" w:hAnsi="Times New Roman"/>
                <w:b/>
                <w:bCs/>
                <w:i/>
                <w:iCs/>
                <w:sz w:val="20"/>
              </w:rPr>
            </w:pPr>
            <w:r>
              <w:rPr>
                <w:rFonts w:ascii="Times New Roman" w:hAnsi="Times New Roman"/>
                <w:sz w:val="20"/>
              </w:rPr>
              <w:t>UE indicating support of this feat</w:t>
            </w:r>
            <w:r>
              <w:rPr>
                <w:rFonts w:ascii="Times New Roman" w:hAnsi="Times New Roman"/>
                <w:sz w:val="20"/>
              </w:rPr>
              <w:t xml:space="preserve">ure shall also indicate support of </w:t>
            </w:r>
            <w:r>
              <w:rPr>
                <w:rFonts w:ascii="Times New Roman" w:hAnsi="Times New Roman"/>
                <w:i/>
                <w:iCs/>
                <w:sz w:val="20"/>
              </w:rPr>
              <w:t>pdsch-256QAM-FR1</w:t>
            </w:r>
            <w:r>
              <w:rPr>
                <w:rFonts w:ascii="Times New Roman" w:hAnsi="Times New Roman"/>
                <w:sz w:val="20"/>
              </w:rPr>
              <w:t>.</w:t>
            </w:r>
          </w:p>
        </w:tc>
        <w:tc>
          <w:tcPr>
            <w:tcW w:w="675" w:type="dxa"/>
            <w:tcBorders>
              <w:top w:val="single" w:sz="4" w:space="0" w:color="808080"/>
              <w:left w:val="single" w:sz="4" w:space="0" w:color="808080"/>
              <w:bottom w:val="single" w:sz="4" w:space="0" w:color="808080"/>
              <w:right w:val="single" w:sz="4" w:space="0" w:color="808080"/>
            </w:tcBorders>
          </w:tcPr>
          <w:p w:rsidR="001F5AD1" w:rsidRDefault="008379B1">
            <w:pPr>
              <w:pStyle w:val="TAL"/>
              <w:spacing w:beforeLines="0" w:before="0" w:afterLines="0"/>
              <w:jc w:val="center"/>
              <w:rPr>
                <w:rFonts w:ascii="Times New Roman" w:hAnsi="Times New Roman"/>
                <w:bCs/>
                <w:i/>
                <w:iCs/>
                <w:sz w:val="20"/>
              </w:rPr>
            </w:pPr>
            <w:r>
              <w:rPr>
                <w:rFonts w:ascii="Times New Roman" w:hAnsi="Times New Roman"/>
                <w:bCs/>
                <w:iCs/>
                <w:sz w:val="20"/>
              </w:rPr>
              <w:t>Band</w:t>
            </w:r>
          </w:p>
        </w:tc>
        <w:tc>
          <w:tcPr>
            <w:tcW w:w="500" w:type="dxa"/>
            <w:tcBorders>
              <w:top w:val="single" w:sz="4" w:space="0" w:color="808080"/>
              <w:left w:val="single" w:sz="4" w:space="0" w:color="808080"/>
              <w:bottom w:val="single" w:sz="4" w:space="0" w:color="808080"/>
              <w:right w:val="single" w:sz="4" w:space="0" w:color="808080"/>
            </w:tcBorders>
          </w:tcPr>
          <w:p w:rsidR="001F5AD1" w:rsidRDefault="008379B1">
            <w:pPr>
              <w:pStyle w:val="TAL"/>
              <w:spacing w:beforeLines="0" w:before="0" w:afterLines="0"/>
              <w:jc w:val="center"/>
              <w:rPr>
                <w:rFonts w:ascii="Times New Roman" w:hAnsi="Times New Roman"/>
                <w:bCs/>
                <w:i/>
                <w:iCs/>
                <w:sz w:val="20"/>
              </w:rPr>
            </w:pPr>
            <w:r>
              <w:rPr>
                <w:rFonts w:ascii="Times New Roman" w:hAnsi="Times New Roman"/>
                <w:bCs/>
                <w:iCs/>
                <w:sz w:val="20"/>
              </w:rPr>
              <w:t>No</w:t>
            </w:r>
          </w:p>
        </w:tc>
        <w:tc>
          <w:tcPr>
            <w:tcW w:w="600" w:type="dxa"/>
            <w:tcBorders>
              <w:top w:val="single" w:sz="4" w:space="0" w:color="808080"/>
              <w:left w:val="single" w:sz="4" w:space="0" w:color="808080"/>
              <w:bottom w:val="single" w:sz="4" w:space="0" w:color="808080"/>
              <w:right w:val="single" w:sz="4" w:space="0" w:color="808080"/>
            </w:tcBorders>
          </w:tcPr>
          <w:p w:rsidR="001F5AD1" w:rsidRDefault="008379B1">
            <w:pPr>
              <w:pStyle w:val="TAL"/>
              <w:spacing w:beforeLines="0" w:before="0" w:afterLines="0"/>
              <w:jc w:val="center"/>
              <w:rPr>
                <w:rFonts w:ascii="Times New Roman" w:hAnsi="Times New Roman"/>
                <w:bCs/>
                <w:i/>
                <w:iCs/>
                <w:sz w:val="20"/>
              </w:rPr>
            </w:pPr>
            <w:r>
              <w:rPr>
                <w:rFonts w:ascii="Times New Roman" w:hAnsi="Times New Roman"/>
                <w:bCs/>
                <w:iCs/>
                <w:sz w:val="20"/>
              </w:rPr>
              <w:t>N/A</w:t>
            </w:r>
          </w:p>
        </w:tc>
        <w:tc>
          <w:tcPr>
            <w:tcW w:w="712" w:type="dxa"/>
            <w:tcBorders>
              <w:top w:val="single" w:sz="4" w:space="0" w:color="808080"/>
              <w:left w:val="single" w:sz="4" w:space="0" w:color="808080"/>
              <w:bottom w:val="single" w:sz="4" w:space="0" w:color="808080"/>
              <w:right w:val="single" w:sz="4" w:space="0" w:color="808080"/>
            </w:tcBorders>
          </w:tcPr>
          <w:p w:rsidR="001F5AD1" w:rsidRDefault="008379B1">
            <w:pPr>
              <w:pStyle w:val="TAL"/>
              <w:spacing w:beforeLines="0" w:before="0" w:afterLines="0"/>
              <w:jc w:val="center"/>
              <w:rPr>
                <w:rFonts w:ascii="Times New Roman" w:hAnsi="Times New Roman"/>
                <w:i/>
                <w:sz w:val="20"/>
              </w:rPr>
            </w:pPr>
            <w:r>
              <w:rPr>
                <w:rFonts w:ascii="Times New Roman" w:hAnsi="Times New Roman"/>
                <w:sz w:val="20"/>
              </w:rPr>
              <w:t>FR1 only</w:t>
            </w:r>
          </w:p>
        </w:tc>
      </w:tr>
    </w:tbl>
    <w:bookmarkEnd w:id="3"/>
    <w:p w:rsidR="001F5AD1" w:rsidRDefault="008379B1">
      <w:pPr>
        <w:spacing w:before="120" w:after="120"/>
      </w:pPr>
      <w:r>
        <w:t xml:space="preserve">The </w:t>
      </w:r>
      <w:r>
        <w:rPr>
          <w:i/>
        </w:rPr>
        <w:t>pdsch-1024QAM-2MIMO-FR1-r17</w:t>
      </w:r>
      <w:r>
        <w:t xml:space="preserve"> is introduced to indicate 1024 QAM with restricted MIMO layer to reduce the requirement for UE supporting 1024 QAM. </w:t>
      </w:r>
    </w:p>
    <w:p w:rsidR="001F5AD1" w:rsidRDefault="008379B1">
      <w:pPr>
        <w:pStyle w:val="Agreement"/>
        <w:spacing w:before="120" w:after="120"/>
        <w:rPr>
          <w:rFonts w:ascii="Times New Roman" w:hAnsi="Times New Roman"/>
        </w:rPr>
      </w:pPr>
      <w:r>
        <w:rPr>
          <w:rFonts w:ascii="Times New Roman" w:hAnsi="Times New Roman"/>
        </w:rPr>
        <w:lastRenderedPageBreak/>
        <w:t xml:space="preserve">[1] Clarify that UE shall at most report one of </w:t>
      </w:r>
      <w:r>
        <w:rPr>
          <w:rFonts w:ascii="Times New Roman" w:hAnsi="Times New Roman"/>
          <w:i/>
        </w:rPr>
        <w:t>pdsch-1024QAM-2MIMO-FR1-r17</w:t>
      </w:r>
      <w:r>
        <w:rPr>
          <w:rFonts w:ascii="Times New Roman" w:hAnsi="Times New Roman"/>
        </w:rPr>
        <w:t xml:space="preserve">and </w:t>
      </w:r>
      <w:r>
        <w:rPr>
          <w:rFonts w:ascii="Times New Roman" w:hAnsi="Times New Roman"/>
          <w:i/>
        </w:rPr>
        <w:t>pdsch-1024QAM-FR1-r17</w:t>
      </w:r>
      <w:r>
        <w:rPr>
          <w:rFonts w:ascii="Times New Roman" w:hAnsi="Times New Roman"/>
        </w:rPr>
        <w:t>.</w:t>
      </w:r>
    </w:p>
    <w:p w:rsidR="001F5AD1" w:rsidRDefault="008379B1">
      <w:pPr>
        <w:spacing w:before="120" w:after="120"/>
        <w:rPr>
          <w:szCs w:val="21"/>
          <w:lang w:bidi="ar"/>
        </w:rPr>
      </w:pPr>
      <w:r>
        <w:rPr>
          <w:rFonts w:hint="eastAsia"/>
          <w:szCs w:val="21"/>
          <w:lang w:bidi="ar"/>
        </w:rPr>
        <w:t xml:space="preserve">For the first bullet, according to current specification, 1024QAM capabilities of </w:t>
      </w:r>
      <w:r>
        <w:rPr>
          <w:rFonts w:hint="eastAsia"/>
          <w:i/>
          <w:iCs/>
          <w:szCs w:val="21"/>
          <w:lang w:bidi="ar"/>
        </w:rPr>
        <w:t>pdsch-1024QAM-FR1-r17</w:t>
      </w:r>
      <w:r>
        <w:rPr>
          <w:rFonts w:hint="eastAsia"/>
          <w:szCs w:val="21"/>
          <w:lang w:bidi="ar"/>
        </w:rPr>
        <w:t xml:space="preserve"> and </w:t>
      </w:r>
      <w:r>
        <w:rPr>
          <w:rFonts w:hint="eastAsia"/>
          <w:i/>
          <w:iCs/>
          <w:szCs w:val="21"/>
          <w:lang w:bidi="ar"/>
        </w:rPr>
        <w:t>pdsch-1024QAM-2MIMO-FR1-r17</w:t>
      </w:r>
      <w:r>
        <w:rPr>
          <w:rFonts w:hint="eastAsia"/>
          <w:szCs w:val="21"/>
          <w:lang w:bidi="ar"/>
        </w:rPr>
        <w:t xml:space="preserve"> are </w:t>
      </w:r>
      <w:proofErr w:type="spellStart"/>
      <w:r>
        <w:rPr>
          <w:rFonts w:hint="eastAsia"/>
          <w:szCs w:val="21"/>
          <w:lang w:bidi="ar"/>
        </w:rPr>
        <w:t>signalled</w:t>
      </w:r>
      <w:proofErr w:type="spellEnd"/>
      <w:r>
        <w:rPr>
          <w:rFonts w:hint="eastAsia"/>
          <w:szCs w:val="21"/>
          <w:lang w:bidi="ar"/>
        </w:rPr>
        <w:t xml:space="preserve"> per </w:t>
      </w:r>
      <w:r>
        <w:rPr>
          <w:rFonts w:hint="eastAsia"/>
          <w:szCs w:val="21"/>
          <w:lang w:bidi="ar"/>
        </w:rPr>
        <w:t xml:space="preserve">band. When only </w:t>
      </w:r>
      <w:r>
        <w:rPr>
          <w:rFonts w:hint="eastAsia"/>
          <w:i/>
          <w:iCs/>
          <w:szCs w:val="21"/>
          <w:lang w:bidi="ar"/>
        </w:rPr>
        <w:t>pdsch-1024QAM-FR1-r17</w:t>
      </w:r>
      <w:r>
        <w:rPr>
          <w:rFonts w:hint="eastAsia"/>
          <w:szCs w:val="21"/>
          <w:lang w:bidi="ar"/>
        </w:rPr>
        <w:t xml:space="preserve"> is </w:t>
      </w:r>
      <w:proofErr w:type="spellStart"/>
      <w:r>
        <w:rPr>
          <w:rFonts w:hint="eastAsia"/>
          <w:szCs w:val="21"/>
          <w:lang w:bidi="ar"/>
        </w:rPr>
        <w:t>signalled</w:t>
      </w:r>
      <w:proofErr w:type="spellEnd"/>
      <w:r>
        <w:rPr>
          <w:rFonts w:hint="eastAsia"/>
          <w:szCs w:val="21"/>
          <w:lang w:bidi="ar"/>
        </w:rPr>
        <w:t xml:space="preserve">, the UE assumes that there is no restriction for the MIMO layer. When only </w:t>
      </w:r>
      <w:r>
        <w:rPr>
          <w:rFonts w:hint="eastAsia"/>
          <w:i/>
          <w:iCs/>
          <w:szCs w:val="21"/>
          <w:lang w:bidi="ar"/>
        </w:rPr>
        <w:t>pdsch-1024QAM-2MIMO-FR1-r17</w:t>
      </w:r>
      <w:r>
        <w:rPr>
          <w:rFonts w:hint="eastAsia"/>
          <w:szCs w:val="21"/>
          <w:lang w:bidi="ar"/>
        </w:rPr>
        <w:t xml:space="preserve"> is </w:t>
      </w:r>
      <w:proofErr w:type="spellStart"/>
      <w:r>
        <w:rPr>
          <w:rFonts w:hint="eastAsia"/>
          <w:szCs w:val="21"/>
          <w:lang w:bidi="ar"/>
        </w:rPr>
        <w:t>signalled</w:t>
      </w:r>
      <w:proofErr w:type="spellEnd"/>
      <w:r>
        <w:rPr>
          <w:rFonts w:hint="eastAsia"/>
          <w:szCs w:val="21"/>
          <w:lang w:bidi="ar"/>
        </w:rPr>
        <w:t>, the UE assumes that the MIMO layer for 1024QAM should not be larger than 2. Therefore, i</w:t>
      </w:r>
      <w:r>
        <w:rPr>
          <w:rFonts w:hint="eastAsia"/>
          <w:szCs w:val="21"/>
          <w:lang w:bidi="ar"/>
        </w:rPr>
        <w:t xml:space="preserve">t is easy to know that when both </w:t>
      </w:r>
      <w:r>
        <w:rPr>
          <w:rFonts w:hint="eastAsia"/>
          <w:i/>
          <w:iCs/>
          <w:szCs w:val="21"/>
          <w:lang w:bidi="ar"/>
        </w:rPr>
        <w:t xml:space="preserve">pdsch-1024QAM-2MIMO-FR1-r17 </w:t>
      </w:r>
      <w:r>
        <w:rPr>
          <w:rFonts w:hint="eastAsia"/>
          <w:szCs w:val="21"/>
          <w:lang w:bidi="ar"/>
        </w:rPr>
        <w:t xml:space="preserve">and </w:t>
      </w:r>
      <w:r>
        <w:rPr>
          <w:rFonts w:hint="eastAsia"/>
          <w:i/>
          <w:iCs/>
          <w:szCs w:val="21"/>
          <w:lang w:bidi="ar"/>
        </w:rPr>
        <w:t>pdsch-1024QAM-FR1-r17</w:t>
      </w:r>
      <w:r>
        <w:rPr>
          <w:rFonts w:hint="eastAsia"/>
          <w:szCs w:val="21"/>
          <w:lang w:bidi="ar"/>
        </w:rPr>
        <w:t xml:space="preserve"> are </w:t>
      </w:r>
      <w:proofErr w:type="spellStart"/>
      <w:r>
        <w:rPr>
          <w:rFonts w:hint="eastAsia"/>
          <w:szCs w:val="21"/>
          <w:lang w:bidi="ar"/>
        </w:rPr>
        <w:t>signalled</w:t>
      </w:r>
      <w:proofErr w:type="spellEnd"/>
      <w:r>
        <w:rPr>
          <w:rFonts w:hint="eastAsia"/>
          <w:szCs w:val="21"/>
          <w:lang w:bidi="ar"/>
        </w:rPr>
        <w:t xml:space="preserve"> for a band, the UE can support 1024QAM scheduling with no restriction for the MIMO layer. </w:t>
      </w:r>
      <w:r>
        <w:rPr>
          <w:szCs w:val="21"/>
          <w:lang w:bidi="ar"/>
        </w:rPr>
        <w:t>I</w:t>
      </w:r>
      <w:r>
        <w:rPr>
          <w:rFonts w:hint="eastAsia"/>
          <w:szCs w:val="21"/>
          <w:lang w:bidi="ar"/>
        </w:rPr>
        <w:t xml:space="preserve">t is okay to clarify that UE shall at most report one of </w:t>
      </w:r>
      <w:r>
        <w:rPr>
          <w:rFonts w:hint="eastAsia"/>
          <w:i/>
          <w:iCs/>
          <w:szCs w:val="21"/>
          <w:lang w:bidi="ar"/>
        </w:rPr>
        <w:t>pdsch-1</w:t>
      </w:r>
      <w:r>
        <w:rPr>
          <w:rFonts w:hint="eastAsia"/>
          <w:i/>
          <w:iCs/>
          <w:szCs w:val="21"/>
          <w:lang w:bidi="ar"/>
        </w:rPr>
        <w:t>024QAM-2MIMO-FR1-r17</w:t>
      </w:r>
      <w:r>
        <w:rPr>
          <w:rFonts w:hint="eastAsia"/>
          <w:szCs w:val="21"/>
          <w:lang w:bidi="ar"/>
        </w:rPr>
        <w:t xml:space="preserve"> and </w:t>
      </w:r>
      <w:r>
        <w:rPr>
          <w:rFonts w:hint="eastAsia"/>
          <w:i/>
          <w:iCs/>
          <w:szCs w:val="21"/>
          <w:lang w:bidi="ar"/>
        </w:rPr>
        <w:t>pdsch-1024QAM-FR1-r17</w:t>
      </w:r>
      <w:r>
        <w:rPr>
          <w:rFonts w:hint="eastAsia"/>
          <w:szCs w:val="21"/>
          <w:lang w:bidi="ar"/>
        </w:rPr>
        <w:t xml:space="preserve"> for a band.</w:t>
      </w:r>
    </w:p>
    <w:p w:rsidR="001F5AD1" w:rsidRDefault="008379B1">
      <w:pPr>
        <w:pStyle w:val="YJ-Proposal"/>
        <w:adjustRightInd w:val="0"/>
        <w:snapToGrid w:val="0"/>
        <w:spacing w:before="120" w:after="120"/>
        <w:rPr>
          <w:lang w:bidi="ar"/>
        </w:rPr>
      </w:pPr>
      <w:bookmarkStart w:id="4" w:name="_Toc20191"/>
      <w:r>
        <w:rPr>
          <w:rFonts w:hint="eastAsia"/>
          <w:lang w:bidi="ar"/>
        </w:rPr>
        <w:t xml:space="preserve">UE shall at most report one of </w:t>
      </w:r>
      <w:r>
        <w:rPr>
          <w:rFonts w:hint="eastAsia"/>
          <w:i/>
          <w:iCs/>
          <w:lang w:bidi="ar"/>
        </w:rPr>
        <w:t>pdsch-1024QAM-2MIMO-FR1-r17</w:t>
      </w:r>
      <w:r>
        <w:rPr>
          <w:rFonts w:hint="eastAsia"/>
          <w:lang w:bidi="ar"/>
        </w:rPr>
        <w:t xml:space="preserve"> and </w:t>
      </w:r>
      <w:r>
        <w:rPr>
          <w:rFonts w:hint="eastAsia"/>
          <w:i/>
          <w:iCs/>
          <w:lang w:bidi="ar"/>
        </w:rPr>
        <w:t>pdsch-1024QAM-FR1-r17</w:t>
      </w:r>
      <w:r>
        <w:rPr>
          <w:rFonts w:hint="eastAsia"/>
          <w:lang w:bidi="ar"/>
        </w:rPr>
        <w:t xml:space="preserve"> for a band.</w:t>
      </w:r>
      <w:bookmarkEnd w:id="4"/>
    </w:p>
    <w:p w:rsidR="001F5AD1" w:rsidRDefault="001F5AD1">
      <w:pPr>
        <w:spacing w:before="120" w:after="120"/>
      </w:pPr>
    </w:p>
    <w:p w:rsidR="001F5AD1" w:rsidRDefault="008379B1">
      <w:pPr>
        <w:pStyle w:val="Agreement"/>
        <w:spacing w:before="120" w:after="120"/>
        <w:rPr>
          <w:rFonts w:ascii="Times New Roman" w:hAnsi="Times New Roman"/>
          <w:iCs/>
          <w:color w:val="C00000"/>
          <w:lang w:eastAsia="zh-CN"/>
        </w:rPr>
      </w:pPr>
      <w:r>
        <w:rPr>
          <w:rFonts w:ascii="Times New Roman" w:hAnsi="Times New Roman"/>
        </w:rPr>
        <w:t xml:space="preserve">[2] Assume to Extend </w:t>
      </w:r>
      <w:proofErr w:type="spellStart"/>
      <w:r>
        <w:rPr>
          <w:rFonts w:ascii="Times New Roman" w:hAnsi="Times New Roman"/>
          <w:i/>
        </w:rPr>
        <w:t>supportedModulationOrderDL</w:t>
      </w:r>
      <w:proofErr w:type="spellEnd"/>
      <w:r>
        <w:rPr>
          <w:rFonts w:ascii="Times New Roman" w:hAnsi="Times New Roman"/>
        </w:rPr>
        <w:t xml:space="preserve"> to include 1024 QAM (confirm with R1). </w:t>
      </w:r>
    </w:p>
    <w:p w:rsidR="001F5AD1" w:rsidRDefault="008379B1">
      <w:pPr>
        <w:spacing w:before="120" w:after="120"/>
      </w:pPr>
      <w:r>
        <w:rPr>
          <w:rFonts w:hint="eastAsia"/>
        </w:rPr>
        <w:t>For the sec</w:t>
      </w:r>
      <w:r>
        <w:rPr>
          <w:rFonts w:hint="eastAsia"/>
        </w:rPr>
        <w:t xml:space="preserve">ond bullet, even though the </w:t>
      </w:r>
      <w:proofErr w:type="spellStart"/>
      <w:r>
        <w:rPr>
          <w:i/>
        </w:rPr>
        <w:t>supportedModulationOrderDL</w:t>
      </w:r>
      <w:proofErr w:type="spellEnd"/>
      <w:r>
        <w:t xml:space="preserve"> </w:t>
      </w:r>
      <w:r>
        <w:rPr>
          <w:rFonts w:hint="eastAsia"/>
        </w:rPr>
        <w:t>is not extended to 1024QAM in current spe</w:t>
      </w:r>
      <w:r>
        <w:rPr>
          <w:rFonts w:hint="eastAsia"/>
        </w:rPr>
        <w:t xml:space="preserve">cification [3], it would work according to the </w:t>
      </w:r>
      <w:r>
        <w:t xml:space="preserve">current </w:t>
      </w:r>
      <w:r>
        <w:rPr>
          <w:rFonts w:hint="eastAsia"/>
        </w:rPr>
        <w:t>specification</w:t>
      </w:r>
      <w:r>
        <w:t>. We agree it may have</w:t>
      </w:r>
      <w:r>
        <w:rPr>
          <w:rFonts w:hint="eastAsia"/>
        </w:rPr>
        <w:t xml:space="preserve"> a </w:t>
      </w:r>
      <w:r>
        <w:t>forward compatible</w:t>
      </w:r>
      <w:r>
        <w:rPr>
          <w:rFonts w:hint="eastAsia"/>
        </w:rPr>
        <w:t xml:space="preserve"> issue, e.g. </w:t>
      </w:r>
      <w:r>
        <w:t xml:space="preserve">if </w:t>
      </w:r>
      <w:r>
        <w:rPr>
          <w:rFonts w:hint="eastAsia"/>
        </w:rPr>
        <w:t xml:space="preserve">the modulation order higher than </w:t>
      </w:r>
      <w:r>
        <w:rPr>
          <w:rFonts w:hint="eastAsia"/>
        </w:rPr>
        <w:t>1024QAM</w:t>
      </w:r>
      <w:r>
        <w:t xml:space="preserve"> was introduced in the future, the absent of </w:t>
      </w:r>
      <w:bookmarkStart w:id="5" w:name="OLE_LINK4"/>
      <w:proofErr w:type="spellStart"/>
      <w:r>
        <w:rPr>
          <w:i/>
        </w:rPr>
        <w:t>supportedModulationOrderDL</w:t>
      </w:r>
      <w:proofErr w:type="spellEnd"/>
      <w:r>
        <w:t xml:space="preserve"> </w:t>
      </w:r>
      <w:bookmarkEnd w:id="5"/>
      <w:r>
        <w:t>would not be able to imply 1024 QAM anymore.</w:t>
      </w:r>
      <w:r>
        <w:rPr>
          <w:rFonts w:hint="eastAsia"/>
        </w:rPr>
        <w:t xml:space="preserve"> Therefore, we support RAN2</w:t>
      </w:r>
      <w:r>
        <w:t>’</w:t>
      </w:r>
      <w:r>
        <w:rPr>
          <w:rFonts w:hint="eastAsia"/>
        </w:rPr>
        <w:t xml:space="preserve">s assumption to </w:t>
      </w:r>
      <w:r>
        <w:rPr>
          <w:bCs/>
        </w:rPr>
        <w:t xml:space="preserve">extend </w:t>
      </w:r>
      <w:proofErr w:type="spellStart"/>
      <w:r>
        <w:rPr>
          <w:bCs/>
          <w:i/>
        </w:rPr>
        <w:t>supportedModulationOrderDL</w:t>
      </w:r>
      <w:proofErr w:type="spellEnd"/>
      <w:r>
        <w:rPr>
          <w:bCs/>
        </w:rPr>
        <w:t xml:space="preserve"> to include 1024 QAM</w:t>
      </w:r>
      <w:r>
        <w:rPr>
          <w:rFonts w:hint="eastAsia"/>
          <w:bCs/>
        </w:rPr>
        <w:t>.</w:t>
      </w:r>
    </w:p>
    <w:p w:rsidR="001F5AD1" w:rsidRDefault="008379B1">
      <w:pPr>
        <w:pStyle w:val="YJ-Proposal"/>
        <w:spacing w:before="120" w:after="120"/>
        <w:rPr>
          <w:lang w:val="en-US" w:eastAsia="zh-CN" w:bidi="ar"/>
        </w:rPr>
      </w:pPr>
      <w:bookmarkStart w:id="6" w:name="_Toc3112"/>
      <w:r>
        <w:rPr>
          <w:rFonts w:hint="eastAsia"/>
          <w:lang w:val="en-US" w:eastAsia="zh-CN" w:bidi="ar"/>
        </w:rPr>
        <w:t>Support RAN2</w:t>
      </w:r>
      <w:r>
        <w:rPr>
          <w:lang w:val="en-US" w:eastAsia="zh-CN" w:bidi="ar"/>
        </w:rPr>
        <w:t>’</w:t>
      </w:r>
      <w:r>
        <w:rPr>
          <w:rFonts w:hint="eastAsia"/>
          <w:lang w:val="en-US" w:eastAsia="zh-CN" w:bidi="ar"/>
        </w:rPr>
        <w:t xml:space="preserve">s assumption </w:t>
      </w:r>
      <w:r>
        <w:rPr>
          <w:lang w:val="en-US" w:eastAsia="zh-CN" w:bidi="ar"/>
        </w:rPr>
        <w:t>to exten</w:t>
      </w:r>
      <w:r>
        <w:rPr>
          <w:lang w:val="en-US" w:eastAsia="zh-CN" w:bidi="ar"/>
        </w:rPr>
        <w:t xml:space="preserve">d </w:t>
      </w:r>
      <w:proofErr w:type="spellStart"/>
      <w:r>
        <w:rPr>
          <w:i/>
          <w:iCs/>
          <w:lang w:val="en-US" w:eastAsia="zh-CN" w:bidi="ar"/>
        </w:rPr>
        <w:t>supportedModulationOrderDL</w:t>
      </w:r>
      <w:proofErr w:type="spellEnd"/>
      <w:r>
        <w:rPr>
          <w:i/>
          <w:iCs/>
          <w:lang w:val="en-US" w:eastAsia="zh-CN" w:bidi="ar"/>
        </w:rPr>
        <w:t xml:space="preserve"> </w:t>
      </w:r>
      <w:r>
        <w:rPr>
          <w:lang w:val="en-US" w:eastAsia="zh-CN" w:bidi="ar"/>
        </w:rPr>
        <w:t>to include 1024 QAM</w:t>
      </w:r>
      <w:r>
        <w:rPr>
          <w:rFonts w:hint="eastAsia"/>
          <w:lang w:val="en-US" w:eastAsia="zh-CN" w:bidi="ar"/>
        </w:rPr>
        <w:t>.</w:t>
      </w:r>
      <w:bookmarkEnd w:id="6"/>
    </w:p>
    <w:p w:rsidR="001F5AD1" w:rsidRDefault="001F5AD1">
      <w:pPr>
        <w:spacing w:before="120" w:after="120"/>
      </w:pPr>
    </w:p>
    <w:p w:rsidR="001F5AD1" w:rsidRDefault="008379B1">
      <w:pPr>
        <w:pStyle w:val="Agreement"/>
        <w:spacing w:before="120" w:after="120"/>
        <w:rPr>
          <w:rFonts w:ascii="Times New Roman" w:hAnsi="Times New Roman"/>
        </w:rPr>
      </w:pPr>
      <w:r>
        <w:rPr>
          <w:rFonts w:ascii="Times New Roman" w:hAnsi="Times New Roman"/>
        </w:rPr>
        <w:t xml:space="preserve">[3] The MIMO layer for 1024 QAM is Min (2, </w:t>
      </w:r>
      <w:proofErr w:type="spellStart"/>
      <w:r>
        <w:rPr>
          <w:rFonts w:ascii="Times New Roman" w:hAnsi="Times New Roman"/>
          <w:i/>
        </w:rPr>
        <w:t>maxNumberMIMO-LayersPDSCH</w:t>
      </w:r>
      <w:proofErr w:type="spellEnd"/>
      <w:r>
        <w:rPr>
          <w:rFonts w:ascii="Times New Roman" w:hAnsi="Times New Roman"/>
        </w:rPr>
        <w:t xml:space="preserve">) for the CC where 1024 QAM is reported </w:t>
      </w:r>
    </w:p>
    <w:p w:rsidR="001F5AD1" w:rsidRDefault="008379B1">
      <w:pPr>
        <w:spacing w:before="120" w:after="120"/>
      </w:pPr>
      <w:r>
        <w:rPr>
          <w:rFonts w:hint="eastAsia"/>
        </w:rPr>
        <w:t xml:space="preserve">For the third bullet, according to the specification in TS 38.331, the value indicated by </w:t>
      </w:r>
      <w:proofErr w:type="spellStart"/>
      <w:r>
        <w:rPr>
          <w:i/>
          <w:iCs/>
        </w:rPr>
        <w:t>maxNum</w:t>
      </w:r>
      <w:r>
        <w:rPr>
          <w:i/>
          <w:iCs/>
        </w:rPr>
        <w:t>berMIMO-LayersPDSCH</w:t>
      </w:r>
      <w:proofErr w:type="spellEnd"/>
      <w:r>
        <w:rPr>
          <w:rFonts w:hint="eastAsia"/>
        </w:rPr>
        <w:t xml:space="preserve"> is not smaller than 2 [4]. If </w:t>
      </w:r>
      <w:r>
        <w:t xml:space="preserve">the UE indicates support of </w:t>
      </w:r>
      <w:r>
        <w:rPr>
          <w:i/>
          <w:iCs/>
        </w:rPr>
        <w:t>pdsch-1024QAM-2MIMO-FR1-r17</w:t>
      </w:r>
      <w:r>
        <w:t>,</w:t>
      </w:r>
      <w:r>
        <w:rPr>
          <w:rFonts w:hint="eastAsia"/>
        </w:rPr>
        <w:t xml:space="preserve"> the maximum MIMO layer for 1024QAM can be assumed to be equal to 2 and the maximum MIMO layer for other modulation orders is provided by </w:t>
      </w:r>
      <w:proofErr w:type="spellStart"/>
      <w:r>
        <w:rPr>
          <w:i/>
          <w:iCs/>
        </w:rPr>
        <w:t>maxNumberMIM</w:t>
      </w:r>
      <w:r>
        <w:rPr>
          <w:i/>
          <w:iCs/>
        </w:rPr>
        <w:t>O-LayersPDSCH</w:t>
      </w:r>
      <w:proofErr w:type="spellEnd"/>
      <w:r>
        <w:rPr>
          <w:rFonts w:hint="eastAsia"/>
        </w:rPr>
        <w:t xml:space="preserve">. While </w:t>
      </w:r>
      <w:proofErr w:type="spellStart"/>
      <w:r>
        <w:rPr>
          <w:i/>
          <w:iCs/>
        </w:rPr>
        <w:t>maxNumberMIMO-LayersPDSCH</w:t>
      </w:r>
      <w:proofErr w:type="spellEnd"/>
      <w:r>
        <w:rPr>
          <w:rFonts w:hint="eastAsia"/>
        </w:rPr>
        <w:t xml:space="preserve"> is absent, the UE does not support MIMO on this carrier, i.e. the number of MIMO layer is less than 2. </w:t>
      </w:r>
      <w:proofErr w:type="gramStart"/>
      <w:r>
        <w:rPr>
          <w:rFonts w:hint="eastAsia"/>
        </w:rPr>
        <w:t>So</w:t>
      </w:r>
      <w:proofErr w:type="gramEnd"/>
      <w:r>
        <w:rPr>
          <w:rFonts w:hint="eastAsia"/>
        </w:rPr>
        <w:t xml:space="preserve"> it is necessary to </w:t>
      </w:r>
      <w:r>
        <w:t>clarify</w:t>
      </w:r>
      <w:r>
        <w:rPr>
          <w:rFonts w:hint="eastAsia"/>
        </w:rPr>
        <w:t xml:space="preserve"> that </w:t>
      </w:r>
      <w:r>
        <w:rPr>
          <w:rFonts w:hint="eastAsia"/>
          <w:bCs/>
        </w:rPr>
        <w:t>t</w:t>
      </w:r>
      <w:r>
        <w:rPr>
          <w:bCs/>
        </w:rPr>
        <w:t xml:space="preserve">he </w:t>
      </w:r>
      <w:r>
        <w:rPr>
          <w:rFonts w:hint="eastAsia"/>
          <w:bCs/>
        </w:rPr>
        <w:t xml:space="preserve">maximum </w:t>
      </w:r>
      <w:r>
        <w:rPr>
          <w:bCs/>
        </w:rPr>
        <w:t xml:space="preserve">MIMO layer for 1024 QAM is Min (2, </w:t>
      </w:r>
      <w:proofErr w:type="spellStart"/>
      <w:r>
        <w:rPr>
          <w:bCs/>
          <w:i/>
        </w:rPr>
        <w:t>maxNumberMIMO-LayersPDSC</w:t>
      </w:r>
      <w:r>
        <w:rPr>
          <w:bCs/>
          <w:i/>
        </w:rPr>
        <w:t>H</w:t>
      </w:r>
      <w:proofErr w:type="spellEnd"/>
      <w:r>
        <w:rPr>
          <w:bCs/>
        </w:rPr>
        <w:t>) for the CC where 10</w:t>
      </w:r>
      <w:r>
        <w:rPr>
          <w:bCs/>
        </w:rPr>
        <w:t>24 QAM is reported</w:t>
      </w:r>
      <w:r>
        <w:rPr>
          <w:rFonts w:hint="eastAsia"/>
        </w:rPr>
        <w:t xml:space="preserve">. </w:t>
      </w:r>
    </w:p>
    <w:p w:rsidR="001F5AD1" w:rsidRDefault="008379B1">
      <w:pPr>
        <w:pStyle w:val="YJ-Proposal"/>
        <w:adjustRightInd w:val="0"/>
        <w:snapToGrid w:val="0"/>
        <w:spacing w:before="120" w:after="120"/>
      </w:pPr>
      <w:bookmarkStart w:id="7" w:name="_Toc20881"/>
      <w:r>
        <w:rPr>
          <w:rFonts w:hint="eastAsia"/>
        </w:rPr>
        <w:t xml:space="preserve">If </w:t>
      </w:r>
      <w:r>
        <w:t xml:space="preserve">the UE indicates support of </w:t>
      </w:r>
      <w:r>
        <w:rPr>
          <w:i/>
          <w:iCs/>
        </w:rPr>
        <w:t>pdsch-1024QAM-2MIMO-FR1-r17</w:t>
      </w:r>
      <w:r>
        <w:rPr>
          <w:i/>
          <w:iCs/>
          <w:lang w:val="en-US" w:eastAsia="zh-CN"/>
        </w:rPr>
        <w:t xml:space="preserve">, </w:t>
      </w:r>
      <w:r>
        <w:rPr>
          <w:rFonts w:hint="eastAsia"/>
        </w:rPr>
        <w:t>t</w:t>
      </w:r>
      <w:r>
        <w:t xml:space="preserve">he </w:t>
      </w:r>
      <w:r>
        <w:rPr>
          <w:rFonts w:hint="eastAsia"/>
          <w:lang w:val="en-US" w:eastAsia="zh-CN"/>
        </w:rPr>
        <w:t xml:space="preserve">maximum </w:t>
      </w:r>
      <w:r>
        <w:t xml:space="preserve">MIMO layer for 1024 QAM is Min (2, </w:t>
      </w:r>
      <w:proofErr w:type="spellStart"/>
      <w:r>
        <w:rPr>
          <w:i/>
        </w:rPr>
        <w:t>maxNumberMIMO-LayersPDSCH</w:t>
      </w:r>
      <w:proofErr w:type="spellEnd"/>
      <w:r>
        <w:t>) for the CC where 1024 QAM is reported</w:t>
      </w:r>
      <w:r>
        <w:rPr>
          <w:rFonts w:hint="eastAsia"/>
          <w:lang w:bidi="ar"/>
        </w:rPr>
        <w:t>.</w:t>
      </w:r>
      <w:bookmarkEnd w:id="7"/>
    </w:p>
    <w:p w:rsidR="001F5AD1" w:rsidRDefault="001F5AD1">
      <w:pPr>
        <w:spacing w:before="120" w:after="120"/>
      </w:pPr>
    </w:p>
    <w:p w:rsidR="001F5AD1" w:rsidRDefault="008379B1">
      <w:pPr>
        <w:pStyle w:val="Agreement"/>
        <w:spacing w:before="120" w:after="120"/>
        <w:rPr>
          <w:rFonts w:ascii="Times New Roman" w:hAnsi="Times New Roman"/>
          <w:color w:val="C00000"/>
          <w:lang w:eastAsia="zh-CN"/>
        </w:rPr>
      </w:pPr>
      <w:r>
        <w:rPr>
          <w:rFonts w:ascii="Times New Roman" w:hAnsi="Times New Roman"/>
        </w:rPr>
        <w:t xml:space="preserve">[4] Assume that Max data rate shall be </w:t>
      </w:r>
      <w:r>
        <w:rPr>
          <w:rFonts w:ascii="Times New Roman" w:hAnsi="Times New Roman"/>
        </w:rPr>
        <w:t>derived from the higher data rate between 1024 QAM or 256 QAM for CC where 1024 QAM is indicated and the UE support reduced 1024 capability (confirm with R1)</w:t>
      </w:r>
    </w:p>
    <w:p w:rsidR="001F5AD1" w:rsidRDefault="008379B1">
      <w:pPr>
        <w:spacing w:before="120" w:after="120"/>
      </w:pPr>
      <w:r>
        <w:rPr>
          <w:rFonts w:hint="eastAsia"/>
        </w:rPr>
        <w:t>For the fourth bullet, according to current specification, when 1024QAM is indicated and the UE su</w:t>
      </w:r>
      <w:r>
        <w:rPr>
          <w:rFonts w:hint="eastAsia"/>
        </w:rPr>
        <w:t xml:space="preserve">pports reduced 1024 capability, the maximum number of MIMO layers can be assumed as 2 if </w:t>
      </w:r>
      <w:proofErr w:type="spellStart"/>
      <w:r>
        <w:rPr>
          <w:rFonts w:hint="eastAsia"/>
          <w:i/>
          <w:iCs/>
        </w:rPr>
        <w:t>maxNumberMIMO-LayersPDSCH</w:t>
      </w:r>
      <w:proofErr w:type="spellEnd"/>
      <w:r>
        <w:rPr>
          <w:rFonts w:hint="eastAsia"/>
        </w:rPr>
        <w:t xml:space="preserve"> is not absent. Then the </w:t>
      </w:r>
      <w:r>
        <w:t>m</w:t>
      </w:r>
      <w:r>
        <w:rPr>
          <w:rFonts w:hint="eastAsia"/>
        </w:rPr>
        <w:t xml:space="preserve">ax data rate for 1024QAM </w:t>
      </w:r>
      <w:r>
        <w:t>with</w:t>
      </w:r>
      <w:r>
        <w:rPr>
          <w:rFonts w:hint="eastAsia"/>
        </w:rPr>
        <w:t xml:space="preserve"> </w:t>
      </w:r>
      <w:r>
        <w:t>2</w:t>
      </w:r>
      <w:r>
        <w:rPr>
          <w:rFonts w:hint="eastAsia"/>
        </w:rPr>
        <w:t xml:space="preserve"> MIMO layers can be less than that of 256QAM and </w:t>
      </w:r>
      <w:r>
        <w:t>larger</w:t>
      </w:r>
      <w:r>
        <w:rPr>
          <w:rFonts w:hint="eastAsia"/>
        </w:rPr>
        <w:t xml:space="preserve"> MIMO layers. </w:t>
      </w:r>
      <w:proofErr w:type="gramStart"/>
      <w:r>
        <w:rPr>
          <w:rFonts w:hint="eastAsia"/>
        </w:rPr>
        <w:t>So</w:t>
      </w:r>
      <w:proofErr w:type="gramEnd"/>
      <w:r>
        <w:rPr>
          <w:rFonts w:hint="eastAsia"/>
        </w:rPr>
        <w:t xml:space="preserve"> we support RA</w:t>
      </w:r>
      <w:r>
        <w:rPr>
          <w:rFonts w:hint="eastAsia"/>
        </w:rPr>
        <w:t>N2</w:t>
      </w:r>
      <w:r>
        <w:t>’</w:t>
      </w:r>
      <w:r>
        <w:rPr>
          <w:rFonts w:hint="eastAsia"/>
        </w:rPr>
        <w:t xml:space="preserve">s assumption to assume that </w:t>
      </w:r>
      <w:r>
        <w:t>m</w:t>
      </w:r>
      <w:r>
        <w:rPr>
          <w:rFonts w:hint="eastAsia"/>
        </w:rPr>
        <w:t>ax data rate shall be derived from the higher data rate between 1024 QAM or 256 QAM for CC where 1024 QAM is indicated and the UE support reduced 1024 capability.</w:t>
      </w:r>
    </w:p>
    <w:p w:rsidR="001F5AD1" w:rsidRDefault="008379B1">
      <w:pPr>
        <w:pStyle w:val="YJ-Proposal"/>
        <w:spacing w:before="120" w:after="120"/>
        <w:rPr>
          <w:lang w:val="en-US" w:eastAsia="zh-CN"/>
        </w:rPr>
      </w:pPr>
      <w:bookmarkStart w:id="8" w:name="_Toc11897"/>
      <w:r>
        <w:rPr>
          <w:rFonts w:hint="eastAsia"/>
          <w:lang w:val="en-US" w:eastAsia="zh-CN" w:bidi="ar"/>
        </w:rPr>
        <w:t>Support RAN2</w:t>
      </w:r>
      <w:r>
        <w:rPr>
          <w:lang w:val="en-US" w:eastAsia="zh-CN" w:bidi="ar"/>
        </w:rPr>
        <w:t>’</w:t>
      </w:r>
      <w:r>
        <w:rPr>
          <w:rFonts w:hint="eastAsia"/>
          <w:lang w:val="en-US" w:eastAsia="zh-CN" w:bidi="ar"/>
        </w:rPr>
        <w:t xml:space="preserve">s assumption </w:t>
      </w:r>
      <w:r>
        <w:rPr>
          <w:rFonts w:hint="eastAsia"/>
          <w:lang w:val="en-US" w:eastAsia="zh-CN"/>
        </w:rPr>
        <w:t xml:space="preserve">that </w:t>
      </w:r>
      <w:r>
        <w:rPr>
          <w:lang w:val="en-US" w:eastAsia="zh-CN"/>
        </w:rPr>
        <w:t>m</w:t>
      </w:r>
      <w:r>
        <w:rPr>
          <w:rFonts w:hint="eastAsia"/>
          <w:lang w:val="en-US" w:eastAsia="zh-CN"/>
        </w:rPr>
        <w:t>ax data rate shall be derived</w:t>
      </w:r>
      <w:r>
        <w:rPr>
          <w:rFonts w:hint="eastAsia"/>
          <w:lang w:val="en-US" w:eastAsia="zh-CN"/>
        </w:rPr>
        <w:t xml:space="preserve"> from the higher data rate between 1024 QAM or 256 QAM for CC where 1024 QAM is indicated and the UE support reduced 1024 capability</w:t>
      </w:r>
      <w:r>
        <w:rPr>
          <w:rFonts w:hint="eastAsia"/>
          <w:lang w:val="en-US" w:eastAsia="zh-CN" w:bidi="ar"/>
        </w:rPr>
        <w:t>.</w:t>
      </w:r>
      <w:bookmarkEnd w:id="8"/>
    </w:p>
    <w:p w:rsidR="001F5AD1" w:rsidRDefault="001F5AD1">
      <w:pPr>
        <w:spacing w:before="120" w:after="120"/>
      </w:pPr>
      <w:bookmarkStart w:id="9" w:name="_GoBack"/>
      <w:bookmarkEnd w:id="9"/>
    </w:p>
    <w:p w:rsidR="001F5AD1" w:rsidRDefault="008379B1">
      <w:pPr>
        <w:pStyle w:val="Agreement"/>
        <w:spacing w:before="120" w:after="120"/>
        <w:rPr>
          <w:rFonts w:ascii="Times New Roman" w:hAnsi="Times New Roman"/>
          <w:lang w:eastAsia="zh-CN"/>
        </w:rPr>
      </w:pPr>
      <w:r>
        <w:rPr>
          <w:rFonts w:ascii="Times New Roman" w:hAnsi="Times New Roman"/>
        </w:rPr>
        <w:lastRenderedPageBreak/>
        <w:t xml:space="preserve">[5] Assume to Clarify that both </w:t>
      </w:r>
      <w:proofErr w:type="spellStart"/>
      <w:r>
        <w:rPr>
          <w:rFonts w:ascii="Times New Roman" w:hAnsi="Times New Roman"/>
        </w:rPr>
        <w:t>scalingFactor</w:t>
      </w:r>
      <w:proofErr w:type="spellEnd"/>
      <w:r>
        <w:rPr>
          <w:rFonts w:ascii="Times New Roman" w:hAnsi="Times New Roman"/>
        </w:rPr>
        <w:t xml:space="preserve"> and scalingFactor-1024QAM-FR1-r17 can be included for in one per CC capabil</w:t>
      </w:r>
      <w:r>
        <w:rPr>
          <w:rFonts w:ascii="Times New Roman" w:hAnsi="Times New Roman"/>
        </w:rPr>
        <w:t xml:space="preserve">ity and legacy </w:t>
      </w:r>
      <w:proofErr w:type="spellStart"/>
      <w:r>
        <w:rPr>
          <w:rFonts w:ascii="Times New Roman" w:hAnsi="Times New Roman"/>
        </w:rPr>
        <w:t>scalingFactor</w:t>
      </w:r>
      <w:proofErr w:type="spellEnd"/>
      <w:r>
        <w:rPr>
          <w:rFonts w:ascii="Times New Roman" w:hAnsi="Times New Roman"/>
        </w:rPr>
        <w:t xml:space="preserve"> is used when non-1024 QAM is scheduled (confirm with R1)</w:t>
      </w:r>
    </w:p>
    <w:p w:rsidR="001F5AD1" w:rsidRDefault="008379B1">
      <w:pPr>
        <w:spacing w:before="120" w:after="120"/>
      </w:pPr>
      <w:r>
        <w:rPr>
          <w:rFonts w:hint="eastAsia"/>
        </w:rPr>
        <w:t>For the fifth bullet, according to current specificati</w:t>
      </w:r>
      <w:r>
        <w:rPr>
          <w:rFonts w:hint="eastAsia"/>
        </w:rPr>
        <w:t xml:space="preserve">on, when 1024QAM is used for data scheduling, only the </w:t>
      </w:r>
      <w:r>
        <w:rPr>
          <w:rFonts w:hint="eastAsia"/>
          <w:i/>
          <w:iCs/>
        </w:rPr>
        <w:t>scalingFactor-1024QAM-FR1-r17</w:t>
      </w:r>
      <w:r>
        <w:rPr>
          <w:rFonts w:hint="eastAsia"/>
        </w:rPr>
        <w:t xml:space="preserve"> is available for the maximum da</w:t>
      </w:r>
      <w:r>
        <w:rPr>
          <w:rFonts w:hint="eastAsia"/>
        </w:rPr>
        <w:t xml:space="preserve">ta rate calculation. And if the legacy </w:t>
      </w:r>
      <w:proofErr w:type="spellStart"/>
      <w:r>
        <w:rPr>
          <w:rFonts w:hint="eastAsia"/>
          <w:i/>
          <w:iCs/>
        </w:rPr>
        <w:t>scalingFactor</w:t>
      </w:r>
      <w:proofErr w:type="spellEnd"/>
      <w:r>
        <w:rPr>
          <w:rFonts w:hint="eastAsia"/>
          <w:i/>
          <w:iCs/>
        </w:rPr>
        <w:t xml:space="preserve"> </w:t>
      </w:r>
      <w:r>
        <w:rPr>
          <w:rFonts w:hint="eastAsia"/>
        </w:rPr>
        <w:t xml:space="preserve">and </w:t>
      </w:r>
      <w:r>
        <w:rPr>
          <w:rFonts w:hint="eastAsia"/>
          <w:i/>
          <w:iCs/>
        </w:rPr>
        <w:t>scalingFactor-1024QAM-FR1-r17</w:t>
      </w:r>
      <w:r>
        <w:rPr>
          <w:rFonts w:hint="eastAsia"/>
        </w:rPr>
        <w:t xml:space="preserve"> </w:t>
      </w:r>
      <w:r>
        <w:rPr>
          <w:rFonts w:hint="eastAsia"/>
        </w:rPr>
        <w:t>are</w:t>
      </w:r>
      <w:r>
        <w:rPr>
          <w:rFonts w:hint="eastAsia"/>
        </w:rPr>
        <w:t xml:space="preserve"> absent, the scaling factor 1 shall be used for 1024QAM. However, because there is no description that </w:t>
      </w:r>
      <w:proofErr w:type="spellStart"/>
      <w:r>
        <w:rPr>
          <w:rFonts w:hint="eastAsia"/>
          <w:i/>
          <w:iCs/>
        </w:rPr>
        <w:t>scalingFactor</w:t>
      </w:r>
      <w:proofErr w:type="spellEnd"/>
      <w:r>
        <w:rPr>
          <w:rFonts w:hint="eastAsia"/>
        </w:rPr>
        <w:t xml:space="preserve"> is not used for non-1024QAM in [3], whether the l</w:t>
      </w:r>
      <w:r>
        <w:rPr>
          <w:rFonts w:hint="eastAsia"/>
        </w:rPr>
        <w:t xml:space="preserve">egacy </w:t>
      </w:r>
      <w:proofErr w:type="spellStart"/>
      <w:r>
        <w:rPr>
          <w:rFonts w:hint="eastAsia"/>
          <w:i/>
          <w:iCs/>
        </w:rPr>
        <w:t>scalingFactor</w:t>
      </w:r>
      <w:proofErr w:type="spellEnd"/>
      <w:r>
        <w:rPr>
          <w:rFonts w:hint="eastAsia"/>
        </w:rPr>
        <w:t xml:space="preserve"> or the scaling factor 1 is used for 1024QAM should be clarified if </w:t>
      </w:r>
      <w:bookmarkStart w:id="10" w:name="OLE_LINK2"/>
      <w:r>
        <w:rPr>
          <w:rFonts w:hint="eastAsia"/>
        </w:rPr>
        <w:t xml:space="preserve">the legacy </w:t>
      </w:r>
      <w:proofErr w:type="spellStart"/>
      <w:r>
        <w:rPr>
          <w:rFonts w:hint="eastAsia"/>
          <w:i/>
          <w:iCs/>
        </w:rPr>
        <w:t>scalingFactor</w:t>
      </w:r>
      <w:proofErr w:type="spellEnd"/>
      <w:r>
        <w:rPr>
          <w:rFonts w:hint="eastAsia"/>
        </w:rPr>
        <w:t xml:space="preserve"> is presented and </w:t>
      </w:r>
      <w:r>
        <w:rPr>
          <w:rFonts w:hint="eastAsia"/>
          <w:i/>
          <w:iCs/>
        </w:rPr>
        <w:t>scalingFactor-1024QAM-FR1-r17</w:t>
      </w:r>
      <w:r>
        <w:rPr>
          <w:rFonts w:hint="eastAsia"/>
        </w:rPr>
        <w:t xml:space="preserve"> is</w:t>
      </w:r>
      <w:bookmarkEnd w:id="10"/>
      <w:r>
        <w:rPr>
          <w:rFonts w:hint="eastAsia"/>
        </w:rPr>
        <w:t xml:space="preserve"> absent. Therefore, we support RAN2</w:t>
      </w:r>
      <w:r>
        <w:t>’</w:t>
      </w:r>
      <w:r>
        <w:rPr>
          <w:rFonts w:hint="eastAsia"/>
        </w:rPr>
        <w:t xml:space="preserve">s assumption </w:t>
      </w:r>
      <w:r>
        <w:t xml:space="preserve">to clarify that both </w:t>
      </w:r>
      <w:proofErr w:type="spellStart"/>
      <w:r>
        <w:rPr>
          <w:i/>
          <w:iCs/>
        </w:rPr>
        <w:t>scalingFactor</w:t>
      </w:r>
      <w:proofErr w:type="spellEnd"/>
      <w:r>
        <w:t xml:space="preserve"> and </w:t>
      </w:r>
      <w:r>
        <w:rPr>
          <w:i/>
          <w:iCs/>
        </w:rPr>
        <w:t>scalingFactor-1024QAM-FR1-r17</w:t>
      </w:r>
      <w:r>
        <w:t xml:space="preserve"> can be included for in one per CC capability and legacy </w:t>
      </w:r>
      <w:proofErr w:type="spellStart"/>
      <w:r>
        <w:rPr>
          <w:i/>
          <w:iCs/>
        </w:rPr>
        <w:t>scalingFactor</w:t>
      </w:r>
      <w:proofErr w:type="spellEnd"/>
      <w:r>
        <w:t xml:space="preserve"> is used when non-1024 QAM is scheduled</w:t>
      </w:r>
      <w:r>
        <w:rPr>
          <w:rFonts w:hint="eastAsia"/>
        </w:rPr>
        <w:t>.</w:t>
      </w:r>
    </w:p>
    <w:p w:rsidR="001F5AD1" w:rsidRDefault="008379B1">
      <w:pPr>
        <w:pStyle w:val="YJ-Proposal"/>
        <w:spacing w:before="120" w:after="120"/>
        <w:rPr>
          <w:lang w:val="en-US" w:eastAsia="zh-CN" w:bidi="ar"/>
        </w:rPr>
      </w:pPr>
      <w:bookmarkStart w:id="11" w:name="_Toc24970"/>
      <w:r>
        <w:rPr>
          <w:rFonts w:hint="eastAsia"/>
          <w:lang w:val="en-US" w:eastAsia="zh-CN" w:bidi="ar"/>
        </w:rPr>
        <w:t>Support RAN2</w:t>
      </w:r>
      <w:r>
        <w:rPr>
          <w:lang w:val="en-US" w:eastAsia="zh-CN" w:bidi="ar"/>
        </w:rPr>
        <w:t>’</w:t>
      </w:r>
      <w:r>
        <w:rPr>
          <w:rFonts w:hint="eastAsia"/>
          <w:lang w:val="en-US" w:eastAsia="zh-CN" w:bidi="ar"/>
        </w:rPr>
        <w:t xml:space="preserve">s assumption </w:t>
      </w:r>
      <w:r>
        <w:rPr>
          <w:lang w:val="en-US" w:eastAsia="zh-CN" w:bidi="ar"/>
        </w:rPr>
        <w:t xml:space="preserve">to </w:t>
      </w:r>
      <w:r>
        <w:rPr>
          <w:lang w:val="en-US" w:eastAsia="zh-CN"/>
        </w:rPr>
        <w:t xml:space="preserve">clarify that both </w:t>
      </w:r>
      <w:proofErr w:type="spellStart"/>
      <w:r>
        <w:rPr>
          <w:i/>
          <w:iCs/>
          <w:lang w:val="en-US" w:eastAsia="zh-CN"/>
        </w:rPr>
        <w:t>scalingFactor</w:t>
      </w:r>
      <w:proofErr w:type="spellEnd"/>
      <w:r>
        <w:rPr>
          <w:lang w:val="en-US" w:eastAsia="zh-CN"/>
        </w:rPr>
        <w:t xml:space="preserve"> and </w:t>
      </w:r>
      <w:r>
        <w:rPr>
          <w:i/>
          <w:iCs/>
          <w:lang w:val="en-US" w:eastAsia="zh-CN"/>
        </w:rPr>
        <w:t>scalingFactor-1024QAM-FR1-r17</w:t>
      </w:r>
      <w:r>
        <w:rPr>
          <w:lang w:val="en-US" w:eastAsia="zh-CN"/>
        </w:rPr>
        <w:t xml:space="preserve"> can be included for i</w:t>
      </w:r>
      <w:r>
        <w:rPr>
          <w:lang w:val="en-US" w:eastAsia="zh-CN"/>
        </w:rPr>
        <w:t xml:space="preserve">n one per CC capability and legacy </w:t>
      </w:r>
      <w:proofErr w:type="spellStart"/>
      <w:r>
        <w:rPr>
          <w:i/>
          <w:iCs/>
          <w:lang w:val="en-US" w:eastAsia="zh-CN"/>
        </w:rPr>
        <w:t>scalingFactor</w:t>
      </w:r>
      <w:proofErr w:type="spellEnd"/>
      <w:r>
        <w:rPr>
          <w:lang w:val="en-US" w:eastAsia="zh-CN"/>
        </w:rPr>
        <w:t xml:space="preserve"> is used when non-1024 QAM is scheduled</w:t>
      </w:r>
      <w:r>
        <w:rPr>
          <w:rFonts w:hint="eastAsia"/>
          <w:lang w:val="en-US" w:eastAsia="zh-CN" w:bidi="ar"/>
        </w:rPr>
        <w:t>.</w:t>
      </w:r>
      <w:bookmarkEnd w:id="11"/>
    </w:p>
    <w:p w:rsidR="001F5AD1" w:rsidRDefault="001F5AD1">
      <w:pPr>
        <w:spacing w:before="120" w:after="120"/>
        <w:rPr>
          <w:szCs w:val="21"/>
          <w:lang w:bidi="ar"/>
        </w:rPr>
      </w:pPr>
    </w:p>
    <w:p w:rsidR="001F5AD1" w:rsidRDefault="008379B1">
      <w:pPr>
        <w:pStyle w:val="1"/>
        <w:numPr>
          <w:ilvl w:val="0"/>
          <w:numId w:val="9"/>
        </w:numPr>
        <w:spacing w:before="120" w:after="120"/>
        <w:rPr>
          <w:rFonts w:ascii="Times New Roman" w:eastAsia="宋体" w:hAnsi="Times New Roman"/>
          <w:b/>
          <w:bCs/>
          <w:sz w:val="28"/>
          <w:szCs w:val="28"/>
        </w:rPr>
      </w:pPr>
      <w:r>
        <w:rPr>
          <w:rFonts w:ascii="Times New Roman" w:eastAsia="宋体" w:hAnsi="Times New Roman"/>
          <w:b/>
          <w:bCs/>
          <w:sz w:val="28"/>
          <w:szCs w:val="28"/>
        </w:rPr>
        <w:t>Conclusion</w:t>
      </w:r>
    </w:p>
    <w:p w:rsidR="001F5AD1" w:rsidRDefault="008379B1">
      <w:pPr>
        <w:spacing w:before="120" w:after="120"/>
        <w:rPr>
          <w:szCs w:val="22"/>
        </w:rPr>
      </w:pPr>
      <w:r>
        <w:rPr>
          <w:rFonts w:hint="eastAsia"/>
          <w:szCs w:val="22"/>
        </w:rPr>
        <w:t xml:space="preserve">In this contribution, we discuss the </w:t>
      </w:r>
      <w:r>
        <w:rPr>
          <w:szCs w:val="22"/>
        </w:rPr>
        <w:t>LS about</w:t>
      </w:r>
      <w:r>
        <w:rPr>
          <w:rFonts w:hint="eastAsia"/>
          <w:szCs w:val="22"/>
        </w:rPr>
        <w:t xml:space="preserve"> 1024QAM</w:t>
      </w:r>
      <w:r>
        <w:rPr>
          <w:szCs w:val="22"/>
        </w:rPr>
        <w:t xml:space="preserve"> capabilities</w:t>
      </w:r>
      <w:r>
        <w:rPr>
          <w:rFonts w:hint="eastAsia"/>
          <w:szCs w:val="22"/>
        </w:rPr>
        <w:t xml:space="preserve"> and have the following proposals.</w:t>
      </w:r>
    </w:p>
    <w:p w:rsidR="001F5AD1" w:rsidRDefault="008379B1">
      <w:pPr>
        <w:pStyle w:val="TOC1"/>
        <w:tabs>
          <w:tab w:val="clear" w:pos="0"/>
          <w:tab w:val="right" w:leader="dot" w:pos="9660"/>
        </w:tabs>
        <w:spacing w:before="120" w:after="120"/>
      </w:pPr>
      <w:r>
        <w:rPr>
          <w:iCs w:val="0"/>
          <w:szCs w:val="21"/>
        </w:rPr>
        <w:fldChar w:fldCharType="begin"/>
      </w:r>
      <w:r>
        <w:rPr>
          <w:iCs w:val="0"/>
          <w:szCs w:val="21"/>
        </w:rPr>
        <w:instrText>TOC \n  \t "YJ-Proposal,1,sub-proposal,2,3rd level pro</w:instrText>
      </w:r>
      <w:r>
        <w:rPr>
          <w:iCs w:val="0"/>
          <w:szCs w:val="21"/>
        </w:rPr>
        <w:instrText>posal,3" \h</w:instrText>
      </w:r>
      <w:r>
        <w:rPr>
          <w:iCs w:val="0"/>
          <w:szCs w:val="21"/>
        </w:rPr>
        <w:fldChar w:fldCharType="separate"/>
      </w:r>
      <w:hyperlink w:anchor="_Toc20191" w:history="1">
        <w:r>
          <w:rPr>
            <w:rFonts w:eastAsia="宋体"/>
            <w:iCs w:val="0"/>
            <w:szCs w:val="21"/>
            <w:lang w:bidi="ar"/>
          </w:rPr>
          <w:t xml:space="preserve">Proposal 1: </w:t>
        </w:r>
        <w:r>
          <w:rPr>
            <w:rFonts w:hint="eastAsia"/>
            <w:lang w:bidi="ar"/>
          </w:rPr>
          <w:t xml:space="preserve">UE shall at most report one of </w:t>
        </w:r>
        <w:r>
          <w:rPr>
            <w:rFonts w:hint="eastAsia"/>
            <w:i/>
            <w:lang w:bidi="ar"/>
          </w:rPr>
          <w:t>pdsch-1024QAM-2MIMO-FR1-r17</w:t>
        </w:r>
        <w:r>
          <w:rPr>
            <w:rFonts w:hint="eastAsia"/>
            <w:lang w:bidi="ar"/>
          </w:rPr>
          <w:t xml:space="preserve"> and </w:t>
        </w:r>
        <w:r>
          <w:rPr>
            <w:rFonts w:hint="eastAsia"/>
            <w:i/>
            <w:lang w:bidi="ar"/>
          </w:rPr>
          <w:t>pdsch-1024QAM-FR1-r17</w:t>
        </w:r>
        <w:r>
          <w:rPr>
            <w:rFonts w:hint="eastAsia"/>
            <w:lang w:bidi="ar"/>
          </w:rPr>
          <w:t xml:space="preserve"> for a band.</w:t>
        </w:r>
      </w:hyperlink>
    </w:p>
    <w:p w:rsidR="001F5AD1" w:rsidRDefault="008379B1">
      <w:pPr>
        <w:pStyle w:val="TOC1"/>
        <w:tabs>
          <w:tab w:val="clear" w:pos="0"/>
          <w:tab w:val="right" w:leader="dot" w:pos="9660"/>
        </w:tabs>
        <w:spacing w:before="120" w:after="120"/>
      </w:pPr>
      <w:hyperlink w:anchor="_Toc3112" w:history="1">
        <w:r>
          <w:rPr>
            <w:rFonts w:eastAsia="宋体"/>
            <w:iCs w:val="0"/>
            <w:szCs w:val="21"/>
            <w:lang w:bidi="ar"/>
          </w:rPr>
          <w:t xml:space="preserve">Proposal 2: </w:t>
        </w:r>
        <w:r>
          <w:rPr>
            <w:rFonts w:hint="eastAsia"/>
            <w:lang w:bidi="ar"/>
          </w:rPr>
          <w:t>Support RAN2</w:t>
        </w:r>
        <w:r>
          <w:rPr>
            <w:lang w:bidi="ar"/>
          </w:rPr>
          <w:t>’</w:t>
        </w:r>
        <w:r>
          <w:rPr>
            <w:rFonts w:hint="eastAsia"/>
            <w:lang w:bidi="ar"/>
          </w:rPr>
          <w:t xml:space="preserve">s assumption </w:t>
        </w:r>
        <w:r>
          <w:rPr>
            <w:lang w:bidi="ar"/>
          </w:rPr>
          <w:t xml:space="preserve">to extend </w:t>
        </w:r>
        <w:r>
          <w:rPr>
            <w:i/>
            <w:lang w:bidi="ar"/>
          </w:rPr>
          <w:t xml:space="preserve">supportedModulationOrderDL </w:t>
        </w:r>
        <w:r>
          <w:rPr>
            <w:lang w:bidi="ar"/>
          </w:rPr>
          <w:t xml:space="preserve">to include </w:t>
        </w:r>
        <w:r>
          <w:rPr>
            <w:lang w:bidi="ar"/>
          </w:rPr>
          <w:t>1024 QAM</w:t>
        </w:r>
        <w:r>
          <w:rPr>
            <w:rFonts w:hint="eastAsia"/>
            <w:lang w:bidi="ar"/>
          </w:rPr>
          <w:t>.</w:t>
        </w:r>
      </w:hyperlink>
    </w:p>
    <w:p w:rsidR="001F5AD1" w:rsidRDefault="008379B1">
      <w:pPr>
        <w:pStyle w:val="TOC1"/>
        <w:tabs>
          <w:tab w:val="clear" w:pos="0"/>
          <w:tab w:val="right" w:leader="dot" w:pos="9660"/>
        </w:tabs>
        <w:spacing w:before="120" w:after="120"/>
      </w:pPr>
      <w:hyperlink w:anchor="_Toc20881" w:history="1">
        <w:r>
          <w:rPr>
            <w:rFonts w:eastAsia="宋体"/>
            <w:iCs w:val="0"/>
            <w:szCs w:val="21"/>
          </w:rPr>
          <w:t xml:space="preserve">Proposal 3: </w:t>
        </w:r>
        <w:r>
          <w:rPr>
            <w:rFonts w:hint="eastAsia"/>
          </w:rPr>
          <w:t xml:space="preserve">If </w:t>
        </w:r>
        <w:r>
          <w:t xml:space="preserve">the UE indicates support of </w:t>
        </w:r>
        <w:r>
          <w:rPr>
            <w:i/>
          </w:rPr>
          <w:t>pdsch-1024QAM-2MIMO-FR1-r17</w:t>
        </w:r>
        <w:r>
          <w:rPr>
            <w:rFonts w:hint="eastAsia"/>
            <w:iCs w:val="0"/>
          </w:rPr>
          <w:t xml:space="preserve">, </w:t>
        </w:r>
        <w:r>
          <w:rPr>
            <w:rFonts w:hint="eastAsia"/>
          </w:rPr>
          <w:t>t</w:t>
        </w:r>
        <w:r>
          <w:t xml:space="preserve">he </w:t>
        </w:r>
        <w:r>
          <w:rPr>
            <w:rFonts w:hint="eastAsia"/>
          </w:rPr>
          <w:t xml:space="preserve">maximum </w:t>
        </w:r>
        <w:r>
          <w:t xml:space="preserve">MIMO layer for 1024 QAM is Min (2, </w:t>
        </w:r>
        <w:r>
          <w:rPr>
            <w:i/>
          </w:rPr>
          <w:t>maxNumberMIMO-LayersPDSCH</w:t>
        </w:r>
        <w:r>
          <w:t>) for the CC where 1024 QAM is reported</w:t>
        </w:r>
        <w:r>
          <w:rPr>
            <w:rFonts w:hint="eastAsia"/>
            <w:lang w:bidi="ar"/>
          </w:rPr>
          <w:t>.</w:t>
        </w:r>
      </w:hyperlink>
    </w:p>
    <w:p w:rsidR="001F5AD1" w:rsidRDefault="008379B1">
      <w:pPr>
        <w:pStyle w:val="TOC1"/>
        <w:tabs>
          <w:tab w:val="clear" w:pos="0"/>
          <w:tab w:val="right" w:leader="dot" w:pos="9660"/>
        </w:tabs>
        <w:spacing w:before="120" w:after="120"/>
      </w:pPr>
      <w:hyperlink w:anchor="_Toc11897" w:history="1">
        <w:r>
          <w:rPr>
            <w:rFonts w:eastAsia="宋体"/>
            <w:iCs w:val="0"/>
            <w:szCs w:val="21"/>
          </w:rPr>
          <w:t>Proposa</w:t>
        </w:r>
        <w:r>
          <w:rPr>
            <w:rFonts w:eastAsia="宋体"/>
            <w:iCs w:val="0"/>
            <w:szCs w:val="21"/>
          </w:rPr>
          <w:t xml:space="preserve">l 4: </w:t>
        </w:r>
        <w:r>
          <w:rPr>
            <w:rFonts w:hint="eastAsia"/>
            <w:lang w:bidi="ar"/>
          </w:rPr>
          <w:t>Support RAN2</w:t>
        </w:r>
        <w:r>
          <w:rPr>
            <w:lang w:bidi="ar"/>
          </w:rPr>
          <w:t>’</w:t>
        </w:r>
        <w:r>
          <w:rPr>
            <w:rFonts w:hint="eastAsia"/>
            <w:lang w:bidi="ar"/>
          </w:rPr>
          <w:t xml:space="preserve">s assumption </w:t>
        </w:r>
        <w:r>
          <w:rPr>
            <w:rFonts w:hint="eastAsia"/>
          </w:rPr>
          <w:t xml:space="preserve">that </w:t>
        </w:r>
        <w:r>
          <w:t>m</w:t>
        </w:r>
        <w:r>
          <w:rPr>
            <w:rFonts w:hint="eastAsia"/>
          </w:rPr>
          <w:t>ax data rate shall be derived from the higher data rate between 1024 QAM or 256 QAM for CC where 1024 QAM is indicated and the UE support reduced 1024 capability</w:t>
        </w:r>
        <w:r>
          <w:rPr>
            <w:rFonts w:hint="eastAsia"/>
            <w:lang w:bidi="ar"/>
          </w:rPr>
          <w:t>.</w:t>
        </w:r>
      </w:hyperlink>
    </w:p>
    <w:p w:rsidR="001F5AD1" w:rsidRDefault="008379B1">
      <w:pPr>
        <w:pStyle w:val="TOC1"/>
        <w:tabs>
          <w:tab w:val="clear" w:pos="0"/>
          <w:tab w:val="right" w:leader="dot" w:pos="9660"/>
        </w:tabs>
        <w:spacing w:before="120" w:after="120"/>
      </w:pPr>
      <w:hyperlink w:anchor="_Toc24970" w:history="1">
        <w:r>
          <w:rPr>
            <w:rFonts w:eastAsia="宋体"/>
            <w:iCs w:val="0"/>
            <w:szCs w:val="21"/>
            <w:lang w:bidi="ar"/>
          </w:rPr>
          <w:t xml:space="preserve">Proposal 5: </w:t>
        </w:r>
        <w:r>
          <w:rPr>
            <w:rFonts w:hint="eastAsia"/>
            <w:lang w:bidi="ar"/>
          </w:rPr>
          <w:t>Support RAN2</w:t>
        </w:r>
        <w:r>
          <w:rPr>
            <w:lang w:bidi="ar"/>
          </w:rPr>
          <w:t>’</w:t>
        </w:r>
        <w:r>
          <w:rPr>
            <w:rFonts w:hint="eastAsia"/>
            <w:lang w:bidi="ar"/>
          </w:rPr>
          <w:t>s as</w:t>
        </w:r>
        <w:r>
          <w:rPr>
            <w:rFonts w:hint="eastAsia"/>
            <w:lang w:bidi="ar"/>
          </w:rPr>
          <w:t xml:space="preserve">sumption </w:t>
        </w:r>
        <w:r>
          <w:rPr>
            <w:lang w:bidi="ar"/>
          </w:rPr>
          <w:t xml:space="preserve">to </w:t>
        </w:r>
        <w:r>
          <w:t xml:space="preserve">clarify that both </w:t>
        </w:r>
        <w:r>
          <w:rPr>
            <w:i/>
          </w:rPr>
          <w:t>scalingFactor</w:t>
        </w:r>
        <w:r>
          <w:t xml:space="preserve"> and </w:t>
        </w:r>
        <w:r>
          <w:rPr>
            <w:i/>
          </w:rPr>
          <w:t>scalingFactor-1024QAM-FR1-r17</w:t>
        </w:r>
        <w:r>
          <w:t xml:space="preserve"> can be included for in one per CC capability and legacy </w:t>
        </w:r>
        <w:r>
          <w:rPr>
            <w:i/>
          </w:rPr>
          <w:t>scalingFactor</w:t>
        </w:r>
        <w:r>
          <w:t xml:space="preserve"> is used when non-1024 QAM is scheduled</w:t>
        </w:r>
        <w:r>
          <w:rPr>
            <w:rFonts w:hint="eastAsia"/>
            <w:lang w:bidi="ar"/>
          </w:rPr>
          <w:t>.</w:t>
        </w:r>
      </w:hyperlink>
    </w:p>
    <w:p w:rsidR="001F5AD1" w:rsidRDefault="008379B1">
      <w:pPr>
        <w:spacing w:before="120" w:after="120"/>
      </w:pPr>
      <w:r>
        <w:rPr>
          <w:szCs w:val="21"/>
        </w:rPr>
        <w:fldChar w:fldCharType="end"/>
      </w:r>
    </w:p>
    <w:p w:rsidR="001F5AD1" w:rsidRDefault="008379B1">
      <w:pPr>
        <w:pStyle w:val="1"/>
        <w:numPr>
          <w:ilvl w:val="0"/>
          <w:numId w:val="9"/>
        </w:numPr>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rsidR="001F5AD1" w:rsidRDefault="008379B1">
      <w:pPr>
        <w:pStyle w:val="References"/>
        <w:spacing w:before="120" w:after="120"/>
        <w:ind w:left="363" w:hanging="363"/>
        <w:rPr>
          <w:szCs w:val="21"/>
        </w:rPr>
      </w:pPr>
      <w:bookmarkStart w:id="12" w:name="_Ref17466"/>
      <w:r>
        <w:rPr>
          <w:rFonts w:hint="eastAsia"/>
          <w:szCs w:val="21"/>
        </w:rPr>
        <w:t xml:space="preserve">R1-2300019. LS on reduced 1024 QAM capability. </w:t>
      </w:r>
      <w:r>
        <w:rPr>
          <w:rFonts w:hint="eastAsia"/>
          <w:szCs w:val="21"/>
        </w:rPr>
        <w:t>2022-11.</w:t>
      </w:r>
    </w:p>
    <w:p w:rsidR="001F5AD1" w:rsidRDefault="008379B1">
      <w:pPr>
        <w:pStyle w:val="References"/>
        <w:spacing w:before="120" w:after="120"/>
        <w:ind w:left="363" w:hanging="363"/>
        <w:rPr>
          <w:szCs w:val="21"/>
        </w:rPr>
      </w:pPr>
      <w:r>
        <w:rPr>
          <w:rFonts w:hint="eastAsia"/>
          <w:szCs w:val="21"/>
        </w:rPr>
        <w:t xml:space="preserve">R2-2212595. </w:t>
      </w:r>
      <w:r>
        <w:rPr>
          <w:rFonts w:hint="eastAsia"/>
          <w:szCs w:val="21"/>
          <w:lang w:val="en-GB" w:eastAsia="en-US"/>
        </w:rPr>
        <w:t>Discussion on the capability for 1024QAM with 2 layers MIMO</w:t>
      </w:r>
      <w:r>
        <w:rPr>
          <w:rFonts w:hint="eastAsia"/>
          <w:szCs w:val="21"/>
        </w:rPr>
        <w:t xml:space="preserve">. </w:t>
      </w:r>
      <w:r>
        <w:rPr>
          <w:rFonts w:hint="eastAsia"/>
          <w:szCs w:val="21"/>
          <w:lang w:val="en-GB" w:eastAsia="en-US"/>
        </w:rPr>
        <w:t xml:space="preserve">Huawei, </w:t>
      </w:r>
      <w:proofErr w:type="spellStart"/>
      <w:r>
        <w:rPr>
          <w:rFonts w:hint="eastAsia"/>
          <w:szCs w:val="21"/>
          <w:lang w:val="en-GB" w:eastAsia="en-US"/>
        </w:rPr>
        <w:t>Hisilicon</w:t>
      </w:r>
      <w:proofErr w:type="spellEnd"/>
      <w:r>
        <w:rPr>
          <w:rFonts w:hint="eastAsia"/>
          <w:szCs w:val="21"/>
        </w:rPr>
        <w:t>, 2022-12.</w:t>
      </w:r>
    </w:p>
    <w:p w:rsidR="001F5AD1" w:rsidRDefault="008379B1">
      <w:pPr>
        <w:pStyle w:val="References"/>
        <w:spacing w:before="120" w:after="120"/>
        <w:ind w:left="363" w:hanging="363"/>
        <w:rPr>
          <w:szCs w:val="21"/>
        </w:rPr>
      </w:pPr>
      <w:r>
        <w:rPr>
          <w:rFonts w:hint="eastAsia"/>
          <w:szCs w:val="21"/>
        </w:rPr>
        <w:t xml:space="preserve">3GPP </w:t>
      </w:r>
      <w:bookmarkStart w:id="13" w:name="specType1"/>
      <w:r>
        <w:rPr>
          <w:rFonts w:hint="eastAsia"/>
          <w:szCs w:val="21"/>
        </w:rPr>
        <w:t>T</w:t>
      </w:r>
      <w:bookmarkEnd w:id="13"/>
      <w:r>
        <w:rPr>
          <w:rFonts w:hint="eastAsia"/>
          <w:szCs w:val="21"/>
        </w:rPr>
        <w:t xml:space="preserve">S </w:t>
      </w:r>
      <w:bookmarkStart w:id="14" w:name="specNumber"/>
      <w:r>
        <w:rPr>
          <w:rFonts w:hint="eastAsia"/>
          <w:szCs w:val="21"/>
        </w:rPr>
        <w:t>38.</w:t>
      </w:r>
      <w:bookmarkEnd w:id="14"/>
      <w:r>
        <w:rPr>
          <w:rFonts w:hint="eastAsia"/>
          <w:szCs w:val="21"/>
        </w:rPr>
        <w:t xml:space="preserve">306 </w:t>
      </w:r>
      <w:bookmarkStart w:id="15" w:name="specVersion"/>
      <w:r>
        <w:rPr>
          <w:rFonts w:hint="eastAsia"/>
          <w:szCs w:val="21"/>
        </w:rPr>
        <w:t>V17.3.</w:t>
      </w:r>
      <w:bookmarkEnd w:id="15"/>
      <w:r>
        <w:rPr>
          <w:rFonts w:hint="eastAsia"/>
          <w:szCs w:val="21"/>
        </w:rPr>
        <w:t>0 (</w:t>
      </w:r>
      <w:bookmarkStart w:id="16" w:name="issueDate"/>
      <w:r>
        <w:rPr>
          <w:rFonts w:hint="eastAsia"/>
          <w:szCs w:val="21"/>
        </w:rPr>
        <w:t>2022-</w:t>
      </w:r>
      <w:bookmarkEnd w:id="16"/>
      <w:r>
        <w:rPr>
          <w:rFonts w:hint="eastAsia"/>
          <w:szCs w:val="21"/>
        </w:rPr>
        <w:t>12).</w:t>
      </w:r>
      <w:bookmarkEnd w:id="12"/>
    </w:p>
    <w:p w:rsidR="001F5AD1" w:rsidRDefault="008379B1">
      <w:pPr>
        <w:pStyle w:val="References"/>
        <w:spacing w:before="120" w:after="120"/>
        <w:ind w:left="363" w:hanging="363"/>
      </w:pPr>
      <w:r>
        <w:rPr>
          <w:rFonts w:hint="eastAsia"/>
          <w:szCs w:val="21"/>
        </w:rPr>
        <w:t xml:space="preserve">3GPP </w:t>
      </w:r>
      <w:r>
        <w:rPr>
          <w:rFonts w:hint="eastAsia"/>
        </w:rPr>
        <w:t>TS 38.331 V17.3.0 (2022-12).</w:t>
      </w:r>
    </w:p>
    <w:sectPr w:rsidR="001F5AD1">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79B1" w:rsidRDefault="008379B1">
      <w:pPr>
        <w:spacing w:before="120" w:after="120"/>
      </w:pPr>
      <w:r>
        <w:separator/>
      </w:r>
    </w:p>
  </w:endnote>
  <w:endnote w:type="continuationSeparator" w:id="0">
    <w:p w:rsidR="008379B1" w:rsidRDefault="008379B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AD1" w:rsidRDefault="001F5AD1">
    <w:pPr>
      <w:pStyle w:val="a9"/>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AD1" w:rsidRDefault="008379B1">
    <w:pPr>
      <w:pStyle w:val="a9"/>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F5AD1" w:rsidRDefault="008379B1">
                          <w:pPr>
                            <w:pStyle w:val="a9"/>
                            <w:spacing w:before="120" w:after="12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AD1" w:rsidRDefault="001F5AD1">
    <w:pPr>
      <w:pStyle w:val="a9"/>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79B1" w:rsidRDefault="008379B1">
      <w:pPr>
        <w:spacing w:before="120" w:after="120"/>
      </w:pPr>
      <w:r>
        <w:separator/>
      </w:r>
    </w:p>
  </w:footnote>
  <w:footnote w:type="continuationSeparator" w:id="0">
    <w:p w:rsidR="008379B1" w:rsidRDefault="008379B1">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AD1" w:rsidRDefault="001F5AD1">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AD1" w:rsidRDefault="001F5AD1">
    <w:pPr>
      <w:pStyle w:val="aa"/>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AD1" w:rsidRDefault="001F5AD1">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1"/>
        <w:szCs w:val="21"/>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abstractNum w:abstractNumId="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 w15:restartNumberingAfterBreak="0">
    <w:nsid w:val="7F50C7B1"/>
    <w:multiLevelType w:val="multilevel"/>
    <w:tmpl w:val="7F50C7B1"/>
    <w:lvl w:ilvl="0">
      <w:start w:val="1"/>
      <w:numFmt w:val="decimal"/>
      <w:lvlText w:val="%1."/>
      <w:lvlJc w:val="left"/>
      <w:pPr>
        <w:ind w:left="425" w:hanging="425"/>
      </w:pPr>
      <w:rPr>
        <w:rFonts w:ascii="Times New Roman" w:hAnsi="Times New Roman" w:cs="Times New Roman" w:hint="default"/>
        <w:b/>
        <w:bCs/>
      </w:rPr>
    </w:lvl>
    <w:lvl w:ilvl="1">
      <w:start w:val="1"/>
      <w:numFmt w:val="decimal"/>
      <w:lvlText w:val="%1.%2."/>
      <w:lvlJc w:val="left"/>
      <w:pPr>
        <w:ind w:left="567" w:hanging="567"/>
      </w:pPr>
      <w:rPr>
        <w:rFonts w:ascii="Times New Roman" w:hAnsi="Times New Roman" w:cs="Times New Roman" w:hint="default"/>
        <w:b/>
        <w:bCs/>
      </w:rPr>
    </w:lvl>
    <w:lvl w:ilvl="2">
      <w:start w:val="1"/>
      <w:numFmt w:val="decimal"/>
      <w:lvlText w:val="%1.%2.%3."/>
      <w:lvlJc w:val="left"/>
      <w:pPr>
        <w:ind w:left="709" w:hanging="709"/>
      </w:pPr>
      <w:rPr>
        <w:rFonts w:ascii="Times New Roman" w:hAnsi="Times New Roman" w:cs="Times New Roman" w:hint="default"/>
        <w:b/>
        <w:bCs/>
        <w:sz w:val="21"/>
        <w:szCs w:val="21"/>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abstractNumId w:val="3"/>
  </w:num>
  <w:num w:numId="2">
    <w:abstractNumId w:val="0"/>
  </w:num>
  <w:num w:numId="3">
    <w:abstractNumId w:val="2"/>
  </w:num>
  <w:num w:numId="4">
    <w:abstractNumId w:val="7"/>
  </w:num>
  <w:num w:numId="5">
    <w:abstractNumId w:val="1"/>
  </w:num>
  <w:num w:numId="6">
    <w:abstractNumId w:val="5"/>
  </w:num>
  <w:num w:numId="7">
    <w:abstractNumId w:val="4"/>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59"/>
    <w:rsid w:val="00001533"/>
    <w:rsid w:val="00007BB2"/>
    <w:rsid w:val="00010389"/>
    <w:rsid w:val="00011362"/>
    <w:rsid w:val="00013157"/>
    <w:rsid w:val="000218E0"/>
    <w:rsid w:val="00024572"/>
    <w:rsid w:val="00033FB8"/>
    <w:rsid w:val="00041DF7"/>
    <w:rsid w:val="00046489"/>
    <w:rsid w:val="000464A0"/>
    <w:rsid w:val="00054432"/>
    <w:rsid w:val="0006224C"/>
    <w:rsid w:val="00066C13"/>
    <w:rsid w:val="00085F2B"/>
    <w:rsid w:val="000A2884"/>
    <w:rsid w:val="000B1F21"/>
    <w:rsid w:val="000B3F71"/>
    <w:rsid w:val="000B6118"/>
    <w:rsid w:val="000D24BA"/>
    <w:rsid w:val="000F0D64"/>
    <w:rsid w:val="000F3584"/>
    <w:rsid w:val="0011053D"/>
    <w:rsid w:val="0011115B"/>
    <w:rsid w:val="00111CB8"/>
    <w:rsid w:val="00116D48"/>
    <w:rsid w:val="00120A32"/>
    <w:rsid w:val="00122562"/>
    <w:rsid w:val="0012492B"/>
    <w:rsid w:val="00134AE1"/>
    <w:rsid w:val="001426DD"/>
    <w:rsid w:val="00142D93"/>
    <w:rsid w:val="00144A4B"/>
    <w:rsid w:val="0016494A"/>
    <w:rsid w:val="00172A27"/>
    <w:rsid w:val="0018384C"/>
    <w:rsid w:val="0019493C"/>
    <w:rsid w:val="001B0E9F"/>
    <w:rsid w:val="001B1E36"/>
    <w:rsid w:val="001B2954"/>
    <w:rsid w:val="001B63AC"/>
    <w:rsid w:val="001C5C7C"/>
    <w:rsid w:val="001E5B39"/>
    <w:rsid w:val="001F2044"/>
    <w:rsid w:val="001F20E7"/>
    <w:rsid w:val="001F4603"/>
    <w:rsid w:val="001F5AD1"/>
    <w:rsid w:val="00201FA0"/>
    <w:rsid w:val="0022317D"/>
    <w:rsid w:val="00227542"/>
    <w:rsid w:val="00233407"/>
    <w:rsid w:val="00236074"/>
    <w:rsid w:val="002375D2"/>
    <w:rsid w:val="00250BAD"/>
    <w:rsid w:val="002577D1"/>
    <w:rsid w:val="00261D15"/>
    <w:rsid w:val="00265D0A"/>
    <w:rsid w:val="00276BB3"/>
    <w:rsid w:val="00277F98"/>
    <w:rsid w:val="002910DE"/>
    <w:rsid w:val="0029236C"/>
    <w:rsid w:val="002A182A"/>
    <w:rsid w:val="002B232B"/>
    <w:rsid w:val="002C0A29"/>
    <w:rsid w:val="002C305B"/>
    <w:rsid w:val="002D28B5"/>
    <w:rsid w:val="002D5E31"/>
    <w:rsid w:val="002D785A"/>
    <w:rsid w:val="002E02FB"/>
    <w:rsid w:val="002E237D"/>
    <w:rsid w:val="002E649F"/>
    <w:rsid w:val="002E7313"/>
    <w:rsid w:val="002F1E63"/>
    <w:rsid w:val="002F415F"/>
    <w:rsid w:val="002F41F2"/>
    <w:rsid w:val="002F62C5"/>
    <w:rsid w:val="00303843"/>
    <w:rsid w:val="00303B07"/>
    <w:rsid w:val="00306300"/>
    <w:rsid w:val="003128E4"/>
    <w:rsid w:val="00332E74"/>
    <w:rsid w:val="00336C18"/>
    <w:rsid w:val="00347EE9"/>
    <w:rsid w:val="00351902"/>
    <w:rsid w:val="00353EBF"/>
    <w:rsid w:val="003657ED"/>
    <w:rsid w:val="00370C9F"/>
    <w:rsid w:val="00371BBF"/>
    <w:rsid w:val="00377B8D"/>
    <w:rsid w:val="00381508"/>
    <w:rsid w:val="003919F3"/>
    <w:rsid w:val="00394688"/>
    <w:rsid w:val="003A64B7"/>
    <w:rsid w:val="003B734E"/>
    <w:rsid w:val="003C2FB8"/>
    <w:rsid w:val="003D0348"/>
    <w:rsid w:val="003D20DF"/>
    <w:rsid w:val="003D4439"/>
    <w:rsid w:val="003D771B"/>
    <w:rsid w:val="003E04A7"/>
    <w:rsid w:val="003E61E7"/>
    <w:rsid w:val="003F30E6"/>
    <w:rsid w:val="003F5933"/>
    <w:rsid w:val="003F7975"/>
    <w:rsid w:val="0040221A"/>
    <w:rsid w:val="0041177A"/>
    <w:rsid w:val="00411842"/>
    <w:rsid w:val="00416528"/>
    <w:rsid w:val="00420FCF"/>
    <w:rsid w:val="0043221E"/>
    <w:rsid w:val="004421C8"/>
    <w:rsid w:val="00453B58"/>
    <w:rsid w:val="004550AC"/>
    <w:rsid w:val="00456AC4"/>
    <w:rsid w:val="00460F5D"/>
    <w:rsid w:val="00465F02"/>
    <w:rsid w:val="00467485"/>
    <w:rsid w:val="00467652"/>
    <w:rsid w:val="0047305A"/>
    <w:rsid w:val="00474F52"/>
    <w:rsid w:val="00475B39"/>
    <w:rsid w:val="00484231"/>
    <w:rsid w:val="004902EA"/>
    <w:rsid w:val="004A6003"/>
    <w:rsid w:val="004B588E"/>
    <w:rsid w:val="004B61D5"/>
    <w:rsid w:val="004B6C6F"/>
    <w:rsid w:val="004C13DB"/>
    <w:rsid w:val="004C1FF3"/>
    <w:rsid w:val="004C28AD"/>
    <w:rsid w:val="004C3E2D"/>
    <w:rsid w:val="004D313B"/>
    <w:rsid w:val="004D7773"/>
    <w:rsid w:val="004F309B"/>
    <w:rsid w:val="005033BA"/>
    <w:rsid w:val="00507DEE"/>
    <w:rsid w:val="00511A3B"/>
    <w:rsid w:val="0051382A"/>
    <w:rsid w:val="00516392"/>
    <w:rsid w:val="00520392"/>
    <w:rsid w:val="00521EE3"/>
    <w:rsid w:val="00522E8D"/>
    <w:rsid w:val="0052535F"/>
    <w:rsid w:val="00533317"/>
    <w:rsid w:val="00546EC3"/>
    <w:rsid w:val="00556291"/>
    <w:rsid w:val="00560F18"/>
    <w:rsid w:val="005669EB"/>
    <w:rsid w:val="0057208E"/>
    <w:rsid w:val="00573CB2"/>
    <w:rsid w:val="005760A7"/>
    <w:rsid w:val="00577081"/>
    <w:rsid w:val="00577EA8"/>
    <w:rsid w:val="00587C04"/>
    <w:rsid w:val="00596579"/>
    <w:rsid w:val="00596DC2"/>
    <w:rsid w:val="005A3B4B"/>
    <w:rsid w:val="005A7057"/>
    <w:rsid w:val="005B065E"/>
    <w:rsid w:val="005B351A"/>
    <w:rsid w:val="005B52DF"/>
    <w:rsid w:val="005E29F1"/>
    <w:rsid w:val="005E59C7"/>
    <w:rsid w:val="005E744B"/>
    <w:rsid w:val="005F799A"/>
    <w:rsid w:val="006137F6"/>
    <w:rsid w:val="00615E53"/>
    <w:rsid w:val="00634605"/>
    <w:rsid w:val="0063495A"/>
    <w:rsid w:val="0063503F"/>
    <w:rsid w:val="006364F5"/>
    <w:rsid w:val="006402B3"/>
    <w:rsid w:val="00641B45"/>
    <w:rsid w:val="00647FE7"/>
    <w:rsid w:val="00656EEF"/>
    <w:rsid w:val="00662C25"/>
    <w:rsid w:val="00673028"/>
    <w:rsid w:val="00673095"/>
    <w:rsid w:val="00680062"/>
    <w:rsid w:val="006805BC"/>
    <w:rsid w:val="006830EB"/>
    <w:rsid w:val="00683CBB"/>
    <w:rsid w:val="00685239"/>
    <w:rsid w:val="00687FA8"/>
    <w:rsid w:val="006940BC"/>
    <w:rsid w:val="006A17BA"/>
    <w:rsid w:val="006A5607"/>
    <w:rsid w:val="006A7A11"/>
    <w:rsid w:val="006B3B0F"/>
    <w:rsid w:val="006B78D4"/>
    <w:rsid w:val="006C3618"/>
    <w:rsid w:val="006C6EC9"/>
    <w:rsid w:val="006D031F"/>
    <w:rsid w:val="006E4AF9"/>
    <w:rsid w:val="006E7C0F"/>
    <w:rsid w:val="00704EAD"/>
    <w:rsid w:val="0071771F"/>
    <w:rsid w:val="00723DE8"/>
    <w:rsid w:val="00730232"/>
    <w:rsid w:val="007336DC"/>
    <w:rsid w:val="007413E9"/>
    <w:rsid w:val="00744D9E"/>
    <w:rsid w:val="00761A4D"/>
    <w:rsid w:val="00763C7E"/>
    <w:rsid w:val="00773ED4"/>
    <w:rsid w:val="00774239"/>
    <w:rsid w:val="00774353"/>
    <w:rsid w:val="0079317C"/>
    <w:rsid w:val="007946E1"/>
    <w:rsid w:val="00794A12"/>
    <w:rsid w:val="007A3E76"/>
    <w:rsid w:val="007B300B"/>
    <w:rsid w:val="007C58DD"/>
    <w:rsid w:val="007C7120"/>
    <w:rsid w:val="007D43AD"/>
    <w:rsid w:val="007D5903"/>
    <w:rsid w:val="007D769E"/>
    <w:rsid w:val="007F0443"/>
    <w:rsid w:val="0080170A"/>
    <w:rsid w:val="00803E39"/>
    <w:rsid w:val="00813137"/>
    <w:rsid w:val="00814940"/>
    <w:rsid w:val="00815927"/>
    <w:rsid w:val="00816480"/>
    <w:rsid w:val="00832CC8"/>
    <w:rsid w:val="00834EE2"/>
    <w:rsid w:val="008379B1"/>
    <w:rsid w:val="0084496F"/>
    <w:rsid w:val="00846A69"/>
    <w:rsid w:val="008551A2"/>
    <w:rsid w:val="008635FE"/>
    <w:rsid w:val="00870D13"/>
    <w:rsid w:val="008716A4"/>
    <w:rsid w:val="0087257F"/>
    <w:rsid w:val="00884A9A"/>
    <w:rsid w:val="00896063"/>
    <w:rsid w:val="00896A89"/>
    <w:rsid w:val="008A670A"/>
    <w:rsid w:val="008A7980"/>
    <w:rsid w:val="008B0720"/>
    <w:rsid w:val="008B127D"/>
    <w:rsid w:val="008D414D"/>
    <w:rsid w:val="008D7045"/>
    <w:rsid w:val="008E0FCD"/>
    <w:rsid w:val="008F44B0"/>
    <w:rsid w:val="009026B1"/>
    <w:rsid w:val="00910698"/>
    <w:rsid w:val="00911B24"/>
    <w:rsid w:val="00917874"/>
    <w:rsid w:val="00921EDB"/>
    <w:rsid w:val="00930DD6"/>
    <w:rsid w:val="00944BED"/>
    <w:rsid w:val="0094549A"/>
    <w:rsid w:val="00945958"/>
    <w:rsid w:val="0096044C"/>
    <w:rsid w:val="00963156"/>
    <w:rsid w:val="00977E8F"/>
    <w:rsid w:val="009808C0"/>
    <w:rsid w:val="00983278"/>
    <w:rsid w:val="00984B03"/>
    <w:rsid w:val="009A0714"/>
    <w:rsid w:val="009A1C9A"/>
    <w:rsid w:val="009A2FCD"/>
    <w:rsid w:val="009B37ED"/>
    <w:rsid w:val="009B3F7A"/>
    <w:rsid w:val="009B4630"/>
    <w:rsid w:val="009C747F"/>
    <w:rsid w:val="009D043C"/>
    <w:rsid w:val="009D0EF4"/>
    <w:rsid w:val="009D56BB"/>
    <w:rsid w:val="009D5915"/>
    <w:rsid w:val="009D5CC9"/>
    <w:rsid w:val="009E1EBF"/>
    <w:rsid w:val="009E28EC"/>
    <w:rsid w:val="009E29CF"/>
    <w:rsid w:val="009F5493"/>
    <w:rsid w:val="009F672F"/>
    <w:rsid w:val="009F6C1E"/>
    <w:rsid w:val="009F7F8C"/>
    <w:rsid w:val="00A017EF"/>
    <w:rsid w:val="00A07597"/>
    <w:rsid w:val="00A16921"/>
    <w:rsid w:val="00A21A86"/>
    <w:rsid w:val="00A25260"/>
    <w:rsid w:val="00A2600D"/>
    <w:rsid w:val="00A27982"/>
    <w:rsid w:val="00A32632"/>
    <w:rsid w:val="00A33622"/>
    <w:rsid w:val="00A36F47"/>
    <w:rsid w:val="00A442D0"/>
    <w:rsid w:val="00A452E2"/>
    <w:rsid w:val="00A71BD6"/>
    <w:rsid w:val="00A726CB"/>
    <w:rsid w:val="00A73834"/>
    <w:rsid w:val="00A80147"/>
    <w:rsid w:val="00A8309D"/>
    <w:rsid w:val="00A8342B"/>
    <w:rsid w:val="00A84E3B"/>
    <w:rsid w:val="00A8749F"/>
    <w:rsid w:val="00A914DF"/>
    <w:rsid w:val="00A94567"/>
    <w:rsid w:val="00AA1F20"/>
    <w:rsid w:val="00AA4BD9"/>
    <w:rsid w:val="00AA6278"/>
    <w:rsid w:val="00AB095A"/>
    <w:rsid w:val="00AB2184"/>
    <w:rsid w:val="00AB5D57"/>
    <w:rsid w:val="00AB7140"/>
    <w:rsid w:val="00AB7E2D"/>
    <w:rsid w:val="00AC6121"/>
    <w:rsid w:val="00AC762E"/>
    <w:rsid w:val="00AD01B8"/>
    <w:rsid w:val="00AD2370"/>
    <w:rsid w:val="00AE177A"/>
    <w:rsid w:val="00AE1C11"/>
    <w:rsid w:val="00AE2760"/>
    <w:rsid w:val="00AE7121"/>
    <w:rsid w:val="00AE74CD"/>
    <w:rsid w:val="00AF00F5"/>
    <w:rsid w:val="00AF2F5B"/>
    <w:rsid w:val="00B06256"/>
    <w:rsid w:val="00B0673F"/>
    <w:rsid w:val="00B10F45"/>
    <w:rsid w:val="00B14252"/>
    <w:rsid w:val="00B207DC"/>
    <w:rsid w:val="00B2101E"/>
    <w:rsid w:val="00B214AA"/>
    <w:rsid w:val="00B22F62"/>
    <w:rsid w:val="00B24489"/>
    <w:rsid w:val="00B37F57"/>
    <w:rsid w:val="00B545C2"/>
    <w:rsid w:val="00B54A2E"/>
    <w:rsid w:val="00B5670A"/>
    <w:rsid w:val="00B60D44"/>
    <w:rsid w:val="00B647D0"/>
    <w:rsid w:val="00B75EFB"/>
    <w:rsid w:val="00B80FE6"/>
    <w:rsid w:val="00B83741"/>
    <w:rsid w:val="00B92B11"/>
    <w:rsid w:val="00B93E27"/>
    <w:rsid w:val="00BB39F2"/>
    <w:rsid w:val="00BC14E6"/>
    <w:rsid w:val="00BD1849"/>
    <w:rsid w:val="00BE02CC"/>
    <w:rsid w:val="00BF2A62"/>
    <w:rsid w:val="00BF6FA5"/>
    <w:rsid w:val="00C14402"/>
    <w:rsid w:val="00C16604"/>
    <w:rsid w:val="00C2443A"/>
    <w:rsid w:val="00C25027"/>
    <w:rsid w:val="00C31056"/>
    <w:rsid w:val="00C362F1"/>
    <w:rsid w:val="00C53CF9"/>
    <w:rsid w:val="00C65AAF"/>
    <w:rsid w:val="00C758AE"/>
    <w:rsid w:val="00C76A51"/>
    <w:rsid w:val="00C8614D"/>
    <w:rsid w:val="00C869A2"/>
    <w:rsid w:val="00C86E2B"/>
    <w:rsid w:val="00C87215"/>
    <w:rsid w:val="00C91147"/>
    <w:rsid w:val="00C95CBD"/>
    <w:rsid w:val="00C963A3"/>
    <w:rsid w:val="00CA6099"/>
    <w:rsid w:val="00CB3E3A"/>
    <w:rsid w:val="00CB6D5A"/>
    <w:rsid w:val="00CB7C8B"/>
    <w:rsid w:val="00CC1EBD"/>
    <w:rsid w:val="00CC3995"/>
    <w:rsid w:val="00CD39D4"/>
    <w:rsid w:val="00CD63CA"/>
    <w:rsid w:val="00CE0516"/>
    <w:rsid w:val="00CE255B"/>
    <w:rsid w:val="00CF15EF"/>
    <w:rsid w:val="00CF1B79"/>
    <w:rsid w:val="00CF2004"/>
    <w:rsid w:val="00CF486B"/>
    <w:rsid w:val="00D01011"/>
    <w:rsid w:val="00D0201E"/>
    <w:rsid w:val="00D152D3"/>
    <w:rsid w:val="00D209E0"/>
    <w:rsid w:val="00D24FB0"/>
    <w:rsid w:val="00D2741D"/>
    <w:rsid w:val="00D315F9"/>
    <w:rsid w:val="00D36BB3"/>
    <w:rsid w:val="00D41C74"/>
    <w:rsid w:val="00D429ED"/>
    <w:rsid w:val="00D4326F"/>
    <w:rsid w:val="00D4521F"/>
    <w:rsid w:val="00D50ED1"/>
    <w:rsid w:val="00D53350"/>
    <w:rsid w:val="00D5676B"/>
    <w:rsid w:val="00D63A96"/>
    <w:rsid w:val="00D70D7C"/>
    <w:rsid w:val="00D72145"/>
    <w:rsid w:val="00D72C83"/>
    <w:rsid w:val="00D743E3"/>
    <w:rsid w:val="00D80115"/>
    <w:rsid w:val="00D81E19"/>
    <w:rsid w:val="00D83C97"/>
    <w:rsid w:val="00D8561C"/>
    <w:rsid w:val="00DA08CB"/>
    <w:rsid w:val="00DA57A2"/>
    <w:rsid w:val="00DB0F7E"/>
    <w:rsid w:val="00DB3575"/>
    <w:rsid w:val="00DC0159"/>
    <w:rsid w:val="00DC463F"/>
    <w:rsid w:val="00DD60F1"/>
    <w:rsid w:val="00DE0E26"/>
    <w:rsid w:val="00DE1E5E"/>
    <w:rsid w:val="00DE27A1"/>
    <w:rsid w:val="00DE3AF1"/>
    <w:rsid w:val="00DF07AA"/>
    <w:rsid w:val="00DF31AD"/>
    <w:rsid w:val="00DF3F57"/>
    <w:rsid w:val="00DF66B1"/>
    <w:rsid w:val="00E00547"/>
    <w:rsid w:val="00E069DA"/>
    <w:rsid w:val="00E10E3E"/>
    <w:rsid w:val="00E14B57"/>
    <w:rsid w:val="00E23574"/>
    <w:rsid w:val="00E31A16"/>
    <w:rsid w:val="00E33C1D"/>
    <w:rsid w:val="00E43AA9"/>
    <w:rsid w:val="00E43CA6"/>
    <w:rsid w:val="00E47AD2"/>
    <w:rsid w:val="00E72841"/>
    <w:rsid w:val="00E81427"/>
    <w:rsid w:val="00E835DD"/>
    <w:rsid w:val="00E84B36"/>
    <w:rsid w:val="00E8701B"/>
    <w:rsid w:val="00EA44EE"/>
    <w:rsid w:val="00EA4D33"/>
    <w:rsid w:val="00EA673D"/>
    <w:rsid w:val="00EA67A2"/>
    <w:rsid w:val="00EB1A2B"/>
    <w:rsid w:val="00EC60C4"/>
    <w:rsid w:val="00ED2253"/>
    <w:rsid w:val="00ED6CEC"/>
    <w:rsid w:val="00EF2FB3"/>
    <w:rsid w:val="00EF475C"/>
    <w:rsid w:val="00EF57F3"/>
    <w:rsid w:val="00F14AD9"/>
    <w:rsid w:val="00F172B9"/>
    <w:rsid w:val="00F2221A"/>
    <w:rsid w:val="00F2466E"/>
    <w:rsid w:val="00F36935"/>
    <w:rsid w:val="00F42146"/>
    <w:rsid w:val="00F46E11"/>
    <w:rsid w:val="00F47B13"/>
    <w:rsid w:val="00F501A8"/>
    <w:rsid w:val="00F6271C"/>
    <w:rsid w:val="00F666D5"/>
    <w:rsid w:val="00F71B0E"/>
    <w:rsid w:val="00F764BC"/>
    <w:rsid w:val="00F76F60"/>
    <w:rsid w:val="00F8057A"/>
    <w:rsid w:val="00F86CA7"/>
    <w:rsid w:val="00F870AA"/>
    <w:rsid w:val="00F948B8"/>
    <w:rsid w:val="00F96060"/>
    <w:rsid w:val="00FB1F9E"/>
    <w:rsid w:val="00FB70E6"/>
    <w:rsid w:val="00FB7830"/>
    <w:rsid w:val="00FC30CD"/>
    <w:rsid w:val="00FD2DE4"/>
    <w:rsid w:val="00FE0763"/>
    <w:rsid w:val="00FE4C1D"/>
    <w:rsid w:val="00FE6E88"/>
    <w:rsid w:val="00FE7E47"/>
    <w:rsid w:val="00FF282F"/>
    <w:rsid w:val="01764F01"/>
    <w:rsid w:val="01806EBE"/>
    <w:rsid w:val="01821D40"/>
    <w:rsid w:val="01E272AD"/>
    <w:rsid w:val="02302A89"/>
    <w:rsid w:val="0243363D"/>
    <w:rsid w:val="024D6B6A"/>
    <w:rsid w:val="029B04E7"/>
    <w:rsid w:val="02FA5057"/>
    <w:rsid w:val="03073BDC"/>
    <w:rsid w:val="033F44DC"/>
    <w:rsid w:val="03C442F7"/>
    <w:rsid w:val="046945F1"/>
    <w:rsid w:val="051D4D0F"/>
    <w:rsid w:val="0555228E"/>
    <w:rsid w:val="059D1E39"/>
    <w:rsid w:val="05E078B3"/>
    <w:rsid w:val="05F670D0"/>
    <w:rsid w:val="05FF2629"/>
    <w:rsid w:val="061807E6"/>
    <w:rsid w:val="06327940"/>
    <w:rsid w:val="077D0583"/>
    <w:rsid w:val="079724D0"/>
    <w:rsid w:val="07A76D75"/>
    <w:rsid w:val="07CC5EFA"/>
    <w:rsid w:val="07F611EA"/>
    <w:rsid w:val="082A352F"/>
    <w:rsid w:val="08543CCE"/>
    <w:rsid w:val="08893576"/>
    <w:rsid w:val="08C349D1"/>
    <w:rsid w:val="0920753B"/>
    <w:rsid w:val="09875ACE"/>
    <w:rsid w:val="09AC4B87"/>
    <w:rsid w:val="09CB6C73"/>
    <w:rsid w:val="09F67CD5"/>
    <w:rsid w:val="0A04638A"/>
    <w:rsid w:val="0A3F5639"/>
    <w:rsid w:val="0AAE50A7"/>
    <w:rsid w:val="0ACF2158"/>
    <w:rsid w:val="0B1A6D5B"/>
    <w:rsid w:val="0B9E71DF"/>
    <w:rsid w:val="0BA4714B"/>
    <w:rsid w:val="0BF227FB"/>
    <w:rsid w:val="0BFF4CF2"/>
    <w:rsid w:val="0C04381F"/>
    <w:rsid w:val="0C646FA9"/>
    <w:rsid w:val="0C9D30C2"/>
    <w:rsid w:val="0D573858"/>
    <w:rsid w:val="0D63214B"/>
    <w:rsid w:val="0D9D65F4"/>
    <w:rsid w:val="0DC62ED7"/>
    <w:rsid w:val="0E0350FB"/>
    <w:rsid w:val="0E172BD0"/>
    <w:rsid w:val="0EEE55ED"/>
    <w:rsid w:val="0F5C2E50"/>
    <w:rsid w:val="0F9C54A4"/>
    <w:rsid w:val="0FFF33A1"/>
    <w:rsid w:val="101972D2"/>
    <w:rsid w:val="10880B98"/>
    <w:rsid w:val="10A50104"/>
    <w:rsid w:val="10BF1266"/>
    <w:rsid w:val="10FB4967"/>
    <w:rsid w:val="115B3410"/>
    <w:rsid w:val="119D7849"/>
    <w:rsid w:val="1237609D"/>
    <w:rsid w:val="1242135C"/>
    <w:rsid w:val="125213B1"/>
    <w:rsid w:val="126B73F5"/>
    <w:rsid w:val="127D04AC"/>
    <w:rsid w:val="134941FA"/>
    <w:rsid w:val="13557CF4"/>
    <w:rsid w:val="13A1683F"/>
    <w:rsid w:val="13D56EC2"/>
    <w:rsid w:val="14275621"/>
    <w:rsid w:val="14DA3DA1"/>
    <w:rsid w:val="150560EA"/>
    <w:rsid w:val="15520F9A"/>
    <w:rsid w:val="15A970FA"/>
    <w:rsid w:val="16310E11"/>
    <w:rsid w:val="166200F5"/>
    <w:rsid w:val="16CA037A"/>
    <w:rsid w:val="16F26E3A"/>
    <w:rsid w:val="17155857"/>
    <w:rsid w:val="17950508"/>
    <w:rsid w:val="17EE73B7"/>
    <w:rsid w:val="18D75FEE"/>
    <w:rsid w:val="19010C43"/>
    <w:rsid w:val="19084C73"/>
    <w:rsid w:val="19807130"/>
    <w:rsid w:val="1A054259"/>
    <w:rsid w:val="1A1F669B"/>
    <w:rsid w:val="1A434CD9"/>
    <w:rsid w:val="1A91314F"/>
    <w:rsid w:val="1AF45DC3"/>
    <w:rsid w:val="1B0921E7"/>
    <w:rsid w:val="1B7F6005"/>
    <w:rsid w:val="1B9A4111"/>
    <w:rsid w:val="1C132CB9"/>
    <w:rsid w:val="1C1867B8"/>
    <w:rsid w:val="1C2D1877"/>
    <w:rsid w:val="1CCC26CA"/>
    <w:rsid w:val="1CFA4EEC"/>
    <w:rsid w:val="1D1B0C4B"/>
    <w:rsid w:val="1D1B4156"/>
    <w:rsid w:val="1D64726C"/>
    <w:rsid w:val="1DB44757"/>
    <w:rsid w:val="1DC54AE8"/>
    <w:rsid w:val="1DF1427E"/>
    <w:rsid w:val="1E7A20D5"/>
    <w:rsid w:val="1E9D6342"/>
    <w:rsid w:val="1EF22452"/>
    <w:rsid w:val="1F224C70"/>
    <w:rsid w:val="1F4271B7"/>
    <w:rsid w:val="1F666A53"/>
    <w:rsid w:val="204E6676"/>
    <w:rsid w:val="205C5E23"/>
    <w:rsid w:val="205F0395"/>
    <w:rsid w:val="20D05D17"/>
    <w:rsid w:val="20DD53B2"/>
    <w:rsid w:val="2195668B"/>
    <w:rsid w:val="21BE5AD4"/>
    <w:rsid w:val="21C74CE9"/>
    <w:rsid w:val="223C5E24"/>
    <w:rsid w:val="229627F6"/>
    <w:rsid w:val="23081A49"/>
    <w:rsid w:val="23405BDD"/>
    <w:rsid w:val="23500484"/>
    <w:rsid w:val="23564010"/>
    <w:rsid w:val="245C52F8"/>
    <w:rsid w:val="2463385E"/>
    <w:rsid w:val="24A43DF9"/>
    <w:rsid w:val="24F63303"/>
    <w:rsid w:val="250D568B"/>
    <w:rsid w:val="25134332"/>
    <w:rsid w:val="257A78CA"/>
    <w:rsid w:val="257E508F"/>
    <w:rsid w:val="25DC2F35"/>
    <w:rsid w:val="26BF5712"/>
    <w:rsid w:val="27375F2C"/>
    <w:rsid w:val="27490038"/>
    <w:rsid w:val="278E1479"/>
    <w:rsid w:val="27AB7429"/>
    <w:rsid w:val="285C053E"/>
    <w:rsid w:val="285D5D1E"/>
    <w:rsid w:val="28FC6167"/>
    <w:rsid w:val="29B9564D"/>
    <w:rsid w:val="29FA7F26"/>
    <w:rsid w:val="2A2B2A36"/>
    <w:rsid w:val="2AC13463"/>
    <w:rsid w:val="2B1469C8"/>
    <w:rsid w:val="2B774832"/>
    <w:rsid w:val="2C045722"/>
    <w:rsid w:val="2C366CE2"/>
    <w:rsid w:val="2C8E5D3A"/>
    <w:rsid w:val="2CDF2FD7"/>
    <w:rsid w:val="2D5B5F1D"/>
    <w:rsid w:val="2D996659"/>
    <w:rsid w:val="2DB5169A"/>
    <w:rsid w:val="2DF562D2"/>
    <w:rsid w:val="2E063913"/>
    <w:rsid w:val="2E1B5BB0"/>
    <w:rsid w:val="2E6A6550"/>
    <w:rsid w:val="2EC0464C"/>
    <w:rsid w:val="2EDC1478"/>
    <w:rsid w:val="2F1251F2"/>
    <w:rsid w:val="30225B56"/>
    <w:rsid w:val="305A32AA"/>
    <w:rsid w:val="30962F3E"/>
    <w:rsid w:val="30D17E68"/>
    <w:rsid w:val="30FF2795"/>
    <w:rsid w:val="311E66E9"/>
    <w:rsid w:val="312756C9"/>
    <w:rsid w:val="31F74610"/>
    <w:rsid w:val="32105575"/>
    <w:rsid w:val="329A6ACE"/>
    <w:rsid w:val="32B16A50"/>
    <w:rsid w:val="32E37353"/>
    <w:rsid w:val="32FD32F8"/>
    <w:rsid w:val="33A40578"/>
    <w:rsid w:val="33AD5627"/>
    <w:rsid w:val="33B43C81"/>
    <w:rsid w:val="34082D86"/>
    <w:rsid w:val="351B5837"/>
    <w:rsid w:val="35782E8F"/>
    <w:rsid w:val="358D329B"/>
    <w:rsid w:val="35D248A8"/>
    <w:rsid w:val="35E90938"/>
    <w:rsid w:val="360B1D73"/>
    <w:rsid w:val="361F3323"/>
    <w:rsid w:val="36316013"/>
    <w:rsid w:val="36815E41"/>
    <w:rsid w:val="36E93760"/>
    <w:rsid w:val="373B6D0E"/>
    <w:rsid w:val="3768478E"/>
    <w:rsid w:val="3784394E"/>
    <w:rsid w:val="37F3166E"/>
    <w:rsid w:val="38005CE8"/>
    <w:rsid w:val="3892196A"/>
    <w:rsid w:val="38AE3BB0"/>
    <w:rsid w:val="38AF2A4C"/>
    <w:rsid w:val="390137D4"/>
    <w:rsid w:val="39214A87"/>
    <w:rsid w:val="3A1F3789"/>
    <w:rsid w:val="3A2025F3"/>
    <w:rsid w:val="3ACB5746"/>
    <w:rsid w:val="3AE82784"/>
    <w:rsid w:val="3B0C5E6C"/>
    <w:rsid w:val="3BA34642"/>
    <w:rsid w:val="3BB20883"/>
    <w:rsid w:val="3C476638"/>
    <w:rsid w:val="3C484781"/>
    <w:rsid w:val="3D163605"/>
    <w:rsid w:val="3D962CB3"/>
    <w:rsid w:val="3DA8275C"/>
    <w:rsid w:val="3DD42738"/>
    <w:rsid w:val="3DDB5F69"/>
    <w:rsid w:val="3E441C7D"/>
    <w:rsid w:val="3E712EDD"/>
    <w:rsid w:val="3EE947D7"/>
    <w:rsid w:val="3F5D7F81"/>
    <w:rsid w:val="3FC956FF"/>
    <w:rsid w:val="3FCB701F"/>
    <w:rsid w:val="3FF830EB"/>
    <w:rsid w:val="3FFC6459"/>
    <w:rsid w:val="403A56AF"/>
    <w:rsid w:val="406A5CA4"/>
    <w:rsid w:val="407C1043"/>
    <w:rsid w:val="409604E3"/>
    <w:rsid w:val="40A36A71"/>
    <w:rsid w:val="40B91094"/>
    <w:rsid w:val="40F471D1"/>
    <w:rsid w:val="410E4736"/>
    <w:rsid w:val="41531A8A"/>
    <w:rsid w:val="41796F79"/>
    <w:rsid w:val="41D3631F"/>
    <w:rsid w:val="41F466FD"/>
    <w:rsid w:val="42250D3B"/>
    <w:rsid w:val="427F677D"/>
    <w:rsid w:val="429452EC"/>
    <w:rsid w:val="42A67A24"/>
    <w:rsid w:val="42D846B9"/>
    <w:rsid w:val="431F4804"/>
    <w:rsid w:val="43B5610A"/>
    <w:rsid w:val="43C9140E"/>
    <w:rsid w:val="440D5045"/>
    <w:rsid w:val="44AC68E9"/>
    <w:rsid w:val="457A59E3"/>
    <w:rsid w:val="45BE6191"/>
    <w:rsid w:val="45F939A7"/>
    <w:rsid w:val="460C5979"/>
    <w:rsid w:val="462309DF"/>
    <w:rsid w:val="477763D8"/>
    <w:rsid w:val="477A5042"/>
    <w:rsid w:val="478F5D07"/>
    <w:rsid w:val="47C01792"/>
    <w:rsid w:val="4808150F"/>
    <w:rsid w:val="48B87D37"/>
    <w:rsid w:val="48F92E9A"/>
    <w:rsid w:val="494906E8"/>
    <w:rsid w:val="49E9233D"/>
    <w:rsid w:val="4AAD1944"/>
    <w:rsid w:val="4AC31003"/>
    <w:rsid w:val="4AE93159"/>
    <w:rsid w:val="4B694536"/>
    <w:rsid w:val="4BBF11D3"/>
    <w:rsid w:val="4BC858F2"/>
    <w:rsid w:val="4BD0339A"/>
    <w:rsid w:val="4CDE1BDC"/>
    <w:rsid w:val="4CDF3441"/>
    <w:rsid w:val="4CF32AFE"/>
    <w:rsid w:val="4D462159"/>
    <w:rsid w:val="4D5C5FAC"/>
    <w:rsid w:val="4DC605B6"/>
    <w:rsid w:val="4DEC0985"/>
    <w:rsid w:val="4DFA595C"/>
    <w:rsid w:val="4E27683A"/>
    <w:rsid w:val="4E8F338F"/>
    <w:rsid w:val="4F134476"/>
    <w:rsid w:val="4F2765B1"/>
    <w:rsid w:val="4F285975"/>
    <w:rsid w:val="4F4B23B2"/>
    <w:rsid w:val="50AA763B"/>
    <w:rsid w:val="50FF3B3F"/>
    <w:rsid w:val="51796EDE"/>
    <w:rsid w:val="51867298"/>
    <w:rsid w:val="52195EDF"/>
    <w:rsid w:val="52313387"/>
    <w:rsid w:val="52787113"/>
    <w:rsid w:val="52E04D27"/>
    <w:rsid w:val="52F6383C"/>
    <w:rsid w:val="539A390F"/>
    <w:rsid w:val="53DB3477"/>
    <w:rsid w:val="547F17FE"/>
    <w:rsid w:val="54AF6B42"/>
    <w:rsid w:val="54F273DE"/>
    <w:rsid w:val="54F93F45"/>
    <w:rsid w:val="55C57CB4"/>
    <w:rsid w:val="55DD6F2A"/>
    <w:rsid w:val="55E40B44"/>
    <w:rsid w:val="5615403F"/>
    <w:rsid w:val="56BE7685"/>
    <w:rsid w:val="56CA6580"/>
    <w:rsid w:val="56E23970"/>
    <w:rsid w:val="575D70A1"/>
    <w:rsid w:val="577465BE"/>
    <w:rsid w:val="577A3C7D"/>
    <w:rsid w:val="578F220A"/>
    <w:rsid w:val="57A07D15"/>
    <w:rsid w:val="57EB75F9"/>
    <w:rsid w:val="57FC07D9"/>
    <w:rsid w:val="57FE2A7E"/>
    <w:rsid w:val="58500F22"/>
    <w:rsid w:val="58CE3E8C"/>
    <w:rsid w:val="590A13C4"/>
    <w:rsid w:val="591C0009"/>
    <w:rsid w:val="59353CAD"/>
    <w:rsid w:val="5A4703FC"/>
    <w:rsid w:val="5ACF0F3A"/>
    <w:rsid w:val="5B5728E4"/>
    <w:rsid w:val="5BB92950"/>
    <w:rsid w:val="5C281531"/>
    <w:rsid w:val="5C4F07F5"/>
    <w:rsid w:val="5C50228D"/>
    <w:rsid w:val="5C6B1600"/>
    <w:rsid w:val="5C921AD0"/>
    <w:rsid w:val="5CF8424D"/>
    <w:rsid w:val="5DAB1901"/>
    <w:rsid w:val="5DFD51DB"/>
    <w:rsid w:val="5DFF3E57"/>
    <w:rsid w:val="5E0D36E5"/>
    <w:rsid w:val="5E7216BA"/>
    <w:rsid w:val="5ECA60C5"/>
    <w:rsid w:val="5EF86E5C"/>
    <w:rsid w:val="5F3D14BC"/>
    <w:rsid w:val="5F526966"/>
    <w:rsid w:val="5F6C6873"/>
    <w:rsid w:val="5F9D163A"/>
    <w:rsid w:val="5FD46148"/>
    <w:rsid w:val="601E1F04"/>
    <w:rsid w:val="607C3753"/>
    <w:rsid w:val="60AE6C2B"/>
    <w:rsid w:val="60B46AC6"/>
    <w:rsid w:val="60C30855"/>
    <w:rsid w:val="60E80146"/>
    <w:rsid w:val="61421EFD"/>
    <w:rsid w:val="615C5041"/>
    <w:rsid w:val="61F039A5"/>
    <w:rsid w:val="623F7CBD"/>
    <w:rsid w:val="62810A4D"/>
    <w:rsid w:val="629C5907"/>
    <w:rsid w:val="63072E65"/>
    <w:rsid w:val="6383615A"/>
    <w:rsid w:val="63DB4F29"/>
    <w:rsid w:val="642B7F00"/>
    <w:rsid w:val="647317E2"/>
    <w:rsid w:val="651A0AA9"/>
    <w:rsid w:val="65570860"/>
    <w:rsid w:val="6562260F"/>
    <w:rsid w:val="65660485"/>
    <w:rsid w:val="6611643F"/>
    <w:rsid w:val="663843DF"/>
    <w:rsid w:val="66423870"/>
    <w:rsid w:val="664805B8"/>
    <w:rsid w:val="664D5322"/>
    <w:rsid w:val="672763E9"/>
    <w:rsid w:val="67494658"/>
    <w:rsid w:val="6793100B"/>
    <w:rsid w:val="67EC6D78"/>
    <w:rsid w:val="68016742"/>
    <w:rsid w:val="68286838"/>
    <w:rsid w:val="68617BBF"/>
    <w:rsid w:val="68661C6E"/>
    <w:rsid w:val="690F418B"/>
    <w:rsid w:val="69A719B8"/>
    <w:rsid w:val="69D01FCE"/>
    <w:rsid w:val="6A132550"/>
    <w:rsid w:val="6A1F141B"/>
    <w:rsid w:val="6A7A2736"/>
    <w:rsid w:val="6A7B4B9C"/>
    <w:rsid w:val="6ADC224B"/>
    <w:rsid w:val="6BFC2C2C"/>
    <w:rsid w:val="6C89456C"/>
    <w:rsid w:val="6CBA421F"/>
    <w:rsid w:val="6D0D1A6A"/>
    <w:rsid w:val="6D7C733E"/>
    <w:rsid w:val="6DB2096C"/>
    <w:rsid w:val="6DC432C2"/>
    <w:rsid w:val="6E04085D"/>
    <w:rsid w:val="6E254769"/>
    <w:rsid w:val="6E5F6002"/>
    <w:rsid w:val="6E677C38"/>
    <w:rsid w:val="6ECC470B"/>
    <w:rsid w:val="6F901B66"/>
    <w:rsid w:val="6FA629D4"/>
    <w:rsid w:val="6FB81772"/>
    <w:rsid w:val="6FD10552"/>
    <w:rsid w:val="70475452"/>
    <w:rsid w:val="70BB2EF0"/>
    <w:rsid w:val="71C543A2"/>
    <w:rsid w:val="72015C4E"/>
    <w:rsid w:val="723D4DAB"/>
    <w:rsid w:val="730C5B4C"/>
    <w:rsid w:val="733A4D38"/>
    <w:rsid w:val="73455C21"/>
    <w:rsid w:val="738917D5"/>
    <w:rsid w:val="73AC63B2"/>
    <w:rsid w:val="73C4387B"/>
    <w:rsid w:val="73CA0FB0"/>
    <w:rsid w:val="73D425F7"/>
    <w:rsid w:val="74147546"/>
    <w:rsid w:val="7450765C"/>
    <w:rsid w:val="74991B2F"/>
    <w:rsid w:val="74A451F1"/>
    <w:rsid w:val="74FC7909"/>
    <w:rsid w:val="750874F9"/>
    <w:rsid w:val="750A2023"/>
    <w:rsid w:val="7519714D"/>
    <w:rsid w:val="75296CB8"/>
    <w:rsid w:val="75883240"/>
    <w:rsid w:val="761E7DC6"/>
    <w:rsid w:val="7676736A"/>
    <w:rsid w:val="7677504F"/>
    <w:rsid w:val="76933951"/>
    <w:rsid w:val="76E53AEF"/>
    <w:rsid w:val="771D661B"/>
    <w:rsid w:val="771F7714"/>
    <w:rsid w:val="775E526E"/>
    <w:rsid w:val="77D327F1"/>
    <w:rsid w:val="78634A72"/>
    <w:rsid w:val="78782A0D"/>
    <w:rsid w:val="792B1961"/>
    <w:rsid w:val="794A24B1"/>
    <w:rsid w:val="795F0C04"/>
    <w:rsid w:val="7989435B"/>
    <w:rsid w:val="79921278"/>
    <w:rsid w:val="7996144E"/>
    <w:rsid w:val="79A2171F"/>
    <w:rsid w:val="79A252FF"/>
    <w:rsid w:val="79C649C5"/>
    <w:rsid w:val="79D33056"/>
    <w:rsid w:val="7ADB2BA5"/>
    <w:rsid w:val="7B333F7E"/>
    <w:rsid w:val="7B363CE1"/>
    <w:rsid w:val="7B4E4792"/>
    <w:rsid w:val="7B715602"/>
    <w:rsid w:val="7BD50445"/>
    <w:rsid w:val="7BDB1686"/>
    <w:rsid w:val="7BDE14E0"/>
    <w:rsid w:val="7C26369C"/>
    <w:rsid w:val="7C9E5A24"/>
    <w:rsid w:val="7CAC00CB"/>
    <w:rsid w:val="7D156487"/>
    <w:rsid w:val="7D2B247E"/>
    <w:rsid w:val="7D575412"/>
    <w:rsid w:val="7D62117D"/>
    <w:rsid w:val="7D764B27"/>
    <w:rsid w:val="7D833A66"/>
    <w:rsid w:val="7DB54254"/>
    <w:rsid w:val="7DDD3E14"/>
    <w:rsid w:val="7E3E1EF2"/>
    <w:rsid w:val="7E951513"/>
    <w:rsid w:val="7EA653FC"/>
    <w:rsid w:val="7EB9483C"/>
    <w:rsid w:val="7EF74FC9"/>
    <w:rsid w:val="7F056EE2"/>
    <w:rsid w:val="7F37349D"/>
    <w:rsid w:val="7F4E5916"/>
    <w:rsid w:val="7F882E38"/>
    <w:rsid w:val="7FB12063"/>
    <w:rsid w:val="7FBE2EA5"/>
    <w:rsid w:val="7FBF642C"/>
    <w:rsid w:val="7FCF64C5"/>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3704ACC-8C93-4FEC-8D81-1E43DC07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qFormat="1"/>
    <w:lsdException w:name="footer"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paragraph" w:styleId="4">
    <w:name w:val="heading 4"/>
    <w:basedOn w:val="3"/>
    <w:next w:val="a"/>
    <w:uiPriority w:val="9"/>
    <w:unhideWhenUsed/>
    <w:qFormat/>
    <w:pPr>
      <w:ind w:left="1418" w:hanging="1418"/>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semiHidden/>
    <w:unhideWhenUsed/>
    <w:qFormat/>
    <w:rPr>
      <w:rFonts w:ascii="Arial" w:eastAsia="黑体" w:hAnsi="Arial"/>
      <w:sz w:val="20"/>
    </w:rPr>
  </w:style>
  <w:style w:type="paragraph" w:styleId="a4">
    <w:name w:val="annotation text"/>
    <w:basedOn w:val="a"/>
    <w:link w:val="a5"/>
    <w:semiHidden/>
    <w:unhideWhenUsed/>
    <w:qFormat/>
  </w:style>
  <w:style w:type="paragraph" w:styleId="a6">
    <w:name w:val="Body Text"/>
    <w:basedOn w:val="a"/>
    <w:qFormat/>
    <w:pPr>
      <w:spacing w:after="120"/>
    </w:p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7">
    <w:name w:val="Balloon Text"/>
    <w:basedOn w:val="a"/>
    <w:link w:val="a8"/>
    <w:uiPriority w:val="99"/>
    <w:semiHidden/>
    <w:unhideWhenUsed/>
    <w:qFormat/>
    <w:pPr>
      <w:spacing w:before="0" w:after="0"/>
    </w:pPr>
    <w:rPr>
      <w:sz w:val="18"/>
      <w:szCs w:val="18"/>
    </w:rPr>
  </w:style>
  <w:style w:type="paragraph" w:styleId="a9">
    <w:name w:val="footer"/>
    <w:basedOn w:val="a"/>
    <w:uiPriority w:val="99"/>
    <w:unhideWhenUsed/>
    <w:qFormat/>
    <w:pPr>
      <w:tabs>
        <w:tab w:val="center" w:pos="4153"/>
        <w:tab w:val="right" w:pos="8306"/>
      </w:tabs>
      <w:snapToGrid w:val="0"/>
      <w:jc w:val="left"/>
    </w:pPr>
    <w:rPr>
      <w:sz w:val="18"/>
      <w:szCs w:val="18"/>
    </w:rPr>
  </w:style>
  <w:style w:type="paragraph" w:styleId="aa">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b">
    <w:name w:val="table of figures"/>
    <w:basedOn w:val="a"/>
    <w:next w:val="a"/>
    <w:uiPriority w:val="99"/>
    <w:semiHidden/>
    <w:unhideWhenUsed/>
    <w:qFormat/>
    <w:pPr>
      <w:ind w:leftChars="200" w:left="200" w:hangingChars="200" w:hanging="200"/>
    </w:p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c">
    <w:name w:val="annotation subject"/>
    <w:basedOn w:val="a4"/>
    <w:next w:val="a4"/>
    <w:link w:val="ad"/>
    <w:uiPriority w:val="99"/>
    <w:semiHidden/>
    <w:unhideWhenUsed/>
    <w:qFormat/>
    <w:pPr>
      <w:jc w:val="left"/>
    </w:pPr>
    <w:rPr>
      <w:b/>
      <w:bCs/>
    </w:rPr>
  </w:style>
  <w:style w:type="table" w:styleId="ae">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99"/>
    <w:qFormat/>
    <w:rPr>
      <w:b/>
      <w:sz w:val="19"/>
      <w:szCs w:val="19"/>
    </w:rPr>
  </w:style>
  <w:style w:type="character" w:styleId="af0">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rPr>
  </w:style>
  <w:style w:type="character" w:styleId="af1">
    <w:name w:val="Hyperlink"/>
    <w:basedOn w:val="a0"/>
    <w:uiPriority w:val="99"/>
    <w:unhideWhenUsed/>
    <w:qFormat/>
    <w:rPr>
      <w:color w:val="0000FF" w:themeColor="hyperlink"/>
      <w:u w:val="singl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2">
    <w:name w:val="annotation reference"/>
    <w:basedOn w:val="a0"/>
    <w:uiPriority w:val="99"/>
    <w:semiHidden/>
    <w:unhideWhenUsed/>
    <w:qFormat/>
    <w:rPr>
      <w:sz w:val="21"/>
      <w:szCs w:val="21"/>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character" w:customStyle="1" w:styleId="a8">
    <w:name w:val="批注框文本 字符"/>
    <w:basedOn w:val="a0"/>
    <w:link w:val="a7"/>
    <w:uiPriority w:val="99"/>
    <w:semiHidden/>
    <w:qFormat/>
    <w:rPr>
      <w:kern w:val="2"/>
      <w:sz w:val="18"/>
      <w:szCs w:val="18"/>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tabs>
        <w:tab w:val="clear" w:pos="1417"/>
        <w:tab w:val="left" w:pos="0"/>
      </w:tabs>
      <w:ind w:left="0"/>
    </w:pPr>
    <w:rPr>
      <w:rFonts w:eastAsiaTheme="minorEastAsia"/>
      <w:b/>
      <w:bCs/>
      <w:szCs w:val="21"/>
      <w:lang w:val="en-GB" w:eastAsia="en-US"/>
    </w:rPr>
  </w:style>
  <w:style w:type="paragraph" w:customStyle="1" w:styleId="sub-proposal">
    <w:name w:val="sub-proposal"/>
    <w:basedOn w:val="YJ-Proposal"/>
    <w:next w:val="a"/>
    <w:qFormat/>
    <w:pPr>
      <w:numPr>
        <w:numId w:val="4"/>
      </w:numPr>
      <w:tabs>
        <w:tab w:val="clear" w:pos="1417"/>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3">
    <w:name w:val="List Paragraph"/>
    <w:basedOn w:val="a"/>
    <w:uiPriority w:val="34"/>
    <w:qFormat/>
    <w:pPr>
      <w:spacing w:beforeLines="0" w:after="0"/>
      <w:ind w:left="720"/>
      <w:contextualSpacing/>
    </w:pPr>
    <w:rPr>
      <w:rFonts w:eastAsia="Times New Roman"/>
      <w:sz w:val="24"/>
      <w:szCs w:val="24"/>
    </w:rPr>
  </w:style>
  <w:style w:type="paragraph" w:customStyle="1" w:styleId="10">
    <w:name w:val="样式1"/>
    <w:basedOn w:val="a"/>
    <w:qFormat/>
  </w:style>
  <w:style w:type="paragraph" w:customStyle="1" w:styleId="20">
    <w:name w:val="样式2"/>
    <w:basedOn w:val="a"/>
    <w:qFormat/>
  </w:style>
  <w:style w:type="character" w:customStyle="1" w:styleId="a5">
    <w:name w:val="批注文字 字符"/>
    <w:basedOn w:val="a0"/>
    <w:link w:val="a4"/>
    <w:semiHidden/>
    <w:qFormat/>
    <w:rPr>
      <w:kern w:val="2"/>
      <w:sz w:val="21"/>
    </w:rPr>
  </w:style>
  <w:style w:type="character" w:customStyle="1" w:styleId="ad">
    <w:name w:val="批注主题 字符"/>
    <w:basedOn w:val="a5"/>
    <w:link w:val="ac"/>
    <w:uiPriority w:val="99"/>
    <w:semiHidden/>
    <w:qFormat/>
    <w:rPr>
      <w:b/>
      <w:bCs/>
      <w:kern w:val="2"/>
      <w:sz w:val="21"/>
    </w:rPr>
  </w:style>
  <w:style w:type="character" w:customStyle="1" w:styleId="active1">
    <w:name w:val="active1"/>
    <w:basedOn w:val="a0"/>
    <w:qFormat/>
    <w:rPr>
      <w:color w:val="FFFFFF"/>
      <w:shd w:val="clear" w:color="auto" w:fill="006DCC"/>
    </w:rPr>
  </w:style>
  <w:style w:type="character" w:customStyle="1" w:styleId="old">
    <w:name w:val="old"/>
    <w:basedOn w:val="a0"/>
    <w:qFormat/>
    <w:rPr>
      <w:color w:val="999999"/>
    </w:rPr>
  </w:style>
  <w:style w:type="character" w:customStyle="1" w:styleId="hover16">
    <w:name w:val="hover16"/>
    <w:basedOn w:val="a0"/>
    <w:qFormat/>
    <w:rPr>
      <w:shd w:val="clear" w:color="auto" w:fill="EEEEEE"/>
    </w:rPr>
  </w:style>
  <w:style w:type="character" w:customStyle="1" w:styleId="badge57">
    <w:name w:val="badge57"/>
    <w:basedOn w:val="a0"/>
    <w:qFormat/>
    <w:rPr>
      <w:b/>
      <w:color w:val="FFFFFF"/>
      <w:sz w:val="24"/>
      <w:szCs w:val="24"/>
      <w:shd w:val="clear" w:color="auto" w:fill="001F3F"/>
    </w:rPr>
  </w:style>
  <w:style w:type="character" w:customStyle="1" w:styleId="badge56">
    <w:name w:val="badge56"/>
    <w:basedOn w:val="a0"/>
    <w:qFormat/>
    <w:rPr>
      <w:b/>
      <w:color w:val="FFFFFF"/>
      <w:sz w:val="24"/>
      <w:szCs w:val="24"/>
      <w:shd w:val="clear" w:color="auto" w:fill="001F3F"/>
    </w:rPr>
  </w:style>
  <w:style w:type="character" w:customStyle="1" w:styleId="badge58">
    <w:name w:val="badge58"/>
    <w:basedOn w:val="a0"/>
    <w:qFormat/>
    <w:rPr>
      <w:b/>
      <w:color w:val="FFFFFF"/>
      <w:sz w:val="24"/>
      <w:szCs w:val="24"/>
      <w:shd w:val="clear" w:color="auto" w:fill="001F3F"/>
    </w:rPr>
  </w:style>
  <w:style w:type="character" w:customStyle="1" w:styleId="active3">
    <w:name w:val="active3"/>
    <w:basedOn w:val="a0"/>
    <w:qFormat/>
    <w:rPr>
      <w:color w:val="FFFFFF"/>
      <w:shd w:val="clear" w:color="auto" w:fill="006DCC"/>
    </w:rPr>
  </w:style>
  <w:style w:type="character" w:customStyle="1" w:styleId="badge55">
    <w:name w:val="badge55"/>
    <w:basedOn w:val="a0"/>
    <w:qFormat/>
    <w:rPr>
      <w:b/>
      <w:color w:val="FFFFFF"/>
      <w:sz w:val="24"/>
      <w:szCs w:val="24"/>
      <w:shd w:val="clear" w:color="auto" w:fill="001F3F"/>
    </w:rPr>
  </w:style>
  <w:style w:type="character" w:customStyle="1" w:styleId="hover15">
    <w:name w:val="hover15"/>
    <w:basedOn w:val="a0"/>
    <w:qFormat/>
    <w:rPr>
      <w:shd w:val="clear" w:color="auto" w:fill="EEEEEE"/>
    </w:rPr>
  </w:style>
  <w:style w:type="character" w:customStyle="1" w:styleId="active">
    <w:name w:val="active"/>
    <w:basedOn w:val="a0"/>
    <w:qFormat/>
    <w:rPr>
      <w:color w:val="FFFFFF"/>
      <w:shd w:val="clear" w:color="auto" w:fill="006DCC"/>
    </w:rPr>
  </w:style>
  <w:style w:type="paragraph" w:customStyle="1" w:styleId="B1">
    <w:name w:val="B1"/>
    <w:basedOn w:val="a"/>
    <w:qFormat/>
    <w:pPr>
      <w:ind w:left="568" w:hanging="284"/>
    </w:pPr>
  </w:style>
  <w:style w:type="paragraph" w:customStyle="1" w:styleId="Doc-text2">
    <w:name w:val="Doc-text2"/>
    <w:basedOn w:val="a"/>
    <w:qFormat/>
    <w:pPr>
      <w:tabs>
        <w:tab w:val="left" w:pos="1622"/>
      </w:tabs>
      <w:spacing w:before="0"/>
      <w:ind w:left="1622" w:hanging="363"/>
    </w:pPr>
  </w:style>
  <w:style w:type="paragraph" w:customStyle="1" w:styleId="TH">
    <w:name w:val="TH"/>
    <w:basedOn w:val="a"/>
    <w:qFormat/>
    <w:pPr>
      <w:keepNext/>
      <w:keepLines/>
      <w:spacing w:before="60"/>
      <w:jc w:val="center"/>
    </w:pPr>
    <w:rPr>
      <w:rFonts w:ascii="Arial" w:eastAsia="MS Mincho" w:hAnsi="Arial"/>
      <w:b/>
    </w:rPr>
  </w:style>
  <w:style w:type="paragraph" w:customStyle="1" w:styleId="TAH">
    <w:name w:val="TAH"/>
    <w:basedOn w:val="TAC"/>
    <w:uiPriority w:val="99"/>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Agreement">
    <w:name w:val="Agreement"/>
    <w:basedOn w:val="a"/>
    <w:next w:val="a"/>
    <w:qFormat/>
    <w:pPr>
      <w:numPr>
        <w:numId w:val="8"/>
      </w:numPr>
      <w:tabs>
        <w:tab w:val="clear" w:pos="359"/>
        <w:tab w:val="left" w:pos="1619"/>
      </w:tabs>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102E87-02D5-4B50-8806-040ECA0C5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1236</Words>
  <Characters>7050</Characters>
  <Application>Microsoft Office Word</Application>
  <DocSecurity>0</DocSecurity>
  <Lines>58</Lines>
  <Paragraphs>16</Paragraphs>
  <ScaleCrop>false</ScaleCrop>
  <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for energy saving techniques of NW energy saving SI.</dc:title>
  <dc:creator>ZTE</dc:creator>
  <cp:lastModifiedBy>ZTE, Mengzhu,2</cp:lastModifiedBy>
  <cp:revision>3</cp:revision>
  <dcterms:created xsi:type="dcterms:W3CDTF">2023-02-16T02:55:00Z</dcterms:created>
  <dcterms:modified xsi:type="dcterms:W3CDTF">2023-02-17T10:43:00Z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